
<file path=[Content_Types].xml><?xml version="1.0" encoding="utf-8"?>
<Types xmlns="http://schemas.openxmlformats.org/package/2006/content-types">
  <Default Extension="jfif"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61A5AA" w14:textId="77777777" w:rsidR="00784FB0" w:rsidRPr="006B00DC" w:rsidRDefault="00784FB0" w:rsidP="00784FB0">
      <w:pPr>
        <w:rPr>
          <w:b/>
          <w:bCs/>
          <w:color w:val="5B9BD5"/>
          <w:sz w:val="28"/>
          <w:szCs w:val="32"/>
        </w:rPr>
      </w:pPr>
      <w:bookmarkStart w:id="0" w:name="_Hlk144321216"/>
      <w:r w:rsidRPr="006B00DC">
        <w:rPr>
          <w:b/>
          <w:bCs/>
          <w:color w:val="5B9BD5"/>
          <w:sz w:val="28"/>
          <w:szCs w:val="32"/>
        </w:rPr>
        <w:t>SAN DIEGO SEND-OFF</w:t>
      </w:r>
    </w:p>
    <w:p w14:paraId="551D5B86" w14:textId="68F196C2" w:rsidR="00C55474" w:rsidRPr="006B00DC" w:rsidRDefault="007B0D20" w:rsidP="00C55474">
      <w:pPr>
        <w:rPr>
          <w:rFonts w:asciiTheme="minorHAnsi" w:hAnsiTheme="minorHAnsi" w:cstheme="minorBidi"/>
          <w:b/>
          <w:bCs/>
          <w:color w:val="1F497D"/>
          <w:sz w:val="21"/>
          <w:szCs w:val="21"/>
        </w:rPr>
      </w:pPr>
      <w:r>
        <w:rPr>
          <w:i/>
          <w:iCs/>
          <w:color w:val="5B9BD5"/>
          <w:sz w:val="21"/>
          <w:szCs w:val="21"/>
        </w:rPr>
        <w:t>Fri</w:t>
      </w:r>
      <w:r w:rsidR="000C1339" w:rsidRPr="006B00DC">
        <w:rPr>
          <w:i/>
          <w:iCs/>
          <w:color w:val="5B9BD5"/>
          <w:sz w:val="21"/>
          <w:szCs w:val="21"/>
        </w:rPr>
        <w:t>da</w:t>
      </w:r>
      <w:r w:rsidR="00003B85" w:rsidRPr="006B00DC">
        <w:rPr>
          <w:i/>
          <w:iCs/>
          <w:color w:val="5B9BD5"/>
          <w:sz w:val="21"/>
          <w:szCs w:val="21"/>
        </w:rPr>
        <w:t>y</w:t>
      </w:r>
      <w:r w:rsidR="00E335FA">
        <w:rPr>
          <w:i/>
          <w:iCs/>
          <w:color w:val="5B9BD5"/>
          <w:sz w:val="21"/>
          <w:szCs w:val="21"/>
        </w:rPr>
        <w:t xml:space="preserve">, </w:t>
      </w:r>
      <w:r>
        <w:rPr>
          <w:i/>
          <w:iCs/>
          <w:color w:val="5B9BD5"/>
          <w:sz w:val="21"/>
          <w:szCs w:val="21"/>
        </w:rPr>
        <w:t>March</w:t>
      </w:r>
      <w:r w:rsidR="00335BAA">
        <w:rPr>
          <w:i/>
          <w:iCs/>
          <w:color w:val="5B9BD5"/>
          <w:sz w:val="21"/>
          <w:szCs w:val="21"/>
        </w:rPr>
        <w:t xml:space="preserve"> 29th</w:t>
      </w:r>
      <w:r w:rsidR="00FB0C22" w:rsidRPr="006B00DC">
        <w:rPr>
          <w:i/>
          <w:iCs/>
          <w:color w:val="5B9BD5"/>
          <w:sz w:val="21"/>
          <w:szCs w:val="21"/>
        </w:rPr>
        <w:t>, 202</w:t>
      </w:r>
      <w:r w:rsidR="003638DD">
        <w:rPr>
          <w:i/>
          <w:iCs/>
          <w:color w:val="5B9BD5"/>
          <w:sz w:val="21"/>
          <w:szCs w:val="21"/>
        </w:rPr>
        <w:t>4</w:t>
      </w:r>
    </w:p>
    <w:p w14:paraId="624D0BC1" w14:textId="77777777" w:rsidR="00784FB0" w:rsidRPr="006B00DC" w:rsidRDefault="00784FB0" w:rsidP="00784FB0">
      <w:pPr>
        <w:rPr>
          <w:b/>
          <w:bCs/>
          <w:color w:val="5B9BD5"/>
          <w:sz w:val="21"/>
          <w:szCs w:val="21"/>
        </w:rPr>
      </w:pPr>
    </w:p>
    <w:p w14:paraId="40C8D06B" w14:textId="51251425" w:rsidR="00853337" w:rsidRDefault="000F6C21" w:rsidP="000F6C21">
      <w:pPr>
        <w:rPr>
          <w:sz w:val="21"/>
          <w:szCs w:val="21"/>
        </w:rPr>
      </w:pPr>
      <w:r w:rsidRPr="006B00DC">
        <w:rPr>
          <w:sz w:val="21"/>
          <w:szCs w:val="21"/>
        </w:rPr>
        <w:t>If you are receiving this email, it is because you</w:t>
      </w:r>
      <w:r w:rsidR="001E5CD4" w:rsidRPr="006B00DC">
        <w:rPr>
          <w:sz w:val="21"/>
          <w:szCs w:val="21"/>
        </w:rPr>
        <w:t xml:space="preserve"> are a client and/or friend of t</w:t>
      </w:r>
      <w:r w:rsidRPr="006B00DC">
        <w:rPr>
          <w:sz w:val="21"/>
          <w:szCs w:val="21"/>
        </w:rPr>
        <w:t xml:space="preserve">he </w:t>
      </w:r>
      <w:r w:rsidR="008122E8">
        <w:rPr>
          <w:sz w:val="21"/>
          <w:szCs w:val="21"/>
        </w:rPr>
        <w:t>La Jolla</w:t>
      </w:r>
      <w:r w:rsidRPr="006B00DC">
        <w:rPr>
          <w:sz w:val="21"/>
          <w:szCs w:val="21"/>
        </w:rPr>
        <w:t xml:space="preserve"> </w:t>
      </w:r>
      <w:r w:rsidR="00695F62">
        <w:rPr>
          <w:sz w:val="21"/>
          <w:szCs w:val="21"/>
        </w:rPr>
        <w:t xml:space="preserve">Private </w:t>
      </w:r>
      <w:r w:rsidRPr="006B00DC">
        <w:rPr>
          <w:sz w:val="21"/>
          <w:szCs w:val="21"/>
        </w:rPr>
        <w:t xml:space="preserve">Wealth Group of Wells Fargo Advisors. The idea behind the </w:t>
      </w:r>
      <w:r w:rsidRPr="006B00DC">
        <w:rPr>
          <w:b/>
          <w:bCs/>
          <w:i/>
          <w:iCs/>
          <w:color w:val="5B9BD5"/>
          <w:sz w:val="21"/>
          <w:szCs w:val="21"/>
        </w:rPr>
        <w:t>San Diego Send-Off</w:t>
      </w:r>
      <w:r w:rsidRPr="006B00DC">
        <w:rPr>
          <w:i/>
          <w:iCs/>
          <w:sz w:val="21"/>
          <w:szCs w:val="21"/>
        </w:rPr>
        <w:t xml:space="preserve"> </w:t>
      </w:r>
      <w:r w:rsidRPr="006B00DC">
        <w:rPr>
          <w:sz w:val="21"/>
          <w:szCs w:val="21"/>
        </w:rPr>
        <w:t xml:space="preserve">is to keep you abreast of interesting trends we are seeing in the market/world. </w:t>
      </w:r>
    </w:p>
    <w:p w14:paraId="72F06286" w14:textId="77777777" w:rsidR="00784FB0" w:rsidRPr="006B00DC" w:rsidRDefault="00784FB0" w:rsidP="00784FB0">
      <w:pPr>
        <w:rPr>
          <w:sz w:val="21"/>
          <w:szCs w:val="21"/>
        </w:rPr>
      </w:pPr>
    </w:p>
    <w:p w14:paraId="0B009DBA" w14:textId="77777777" w:rsidR="00784FB0" w:rsidRPr="006B00DC" w:rsidRDefault="00784FB0" w:rsidP="00784FB0">
      <w:pPr>
        <w:rPr>
          <w:sz w:val="21"/>
          <w:szCs w:val="21"/>
        </w:rPr>
      </w:pPr>
      <w:r w:rsidRPr="006B00DC">
        <w:rPr>
          <w:sz w:val="21"/>
          <w:szCs w:val="21"/>
        </w:rPr>
        <w:t>Best Regards,</w:t>
      </w:r>
    </w:p>
    <w:p w14:paraId="31AFA38A" w14:textId="77777777" w:rsidR="00853337" w:rsidRPr="006B00DC" w:rsidRDefault="00853337" w:rsidP="00784FB0">
      <w:pPr>
        <w:rPr>
          <w:b/>
          <w:sz w:val="21"/>
          <w:szCs w:val="21"/>
        </w:rPr>
      </w:pPr>
    </w:p>
    <w:p w14:paraId="3B1DCA64" w14:textId="77777777" w:rsidR="00741060" w:rsidRDefault="00741060" w:rsidP="00741060">
      <w:pPr>
        <w:rPr>
          <w:b/>
          <w:sz w:val="17"/>
          <w:szCs w:val="17"/>
        </w:rPr>
      </w:pPr>
      <w:r>
        <w:rPr>
          <w:b/>
          <w:sz w:val="18"/>
          <w:szCs w:val="18"/>
        </w:rPr>
        <w:t xml:space="preserve">Robert Palatella </w:t>
      </w:r>
      <w:r>
        <w:rPr>
          <w:b/>
          <w:sz w:val="18"/>
          <w:szCs w:val="18"/>
        </w:rPr>
        <w:tab/>
        <w:t xml:space="preserve">              Michael O’Brien                               Josh O’Brien, </w:t>
      </w:r>
      <w:r>
        <w:rPr>
          <w:rFonts w:eastAsiaTheme="minorEastAsia"/>
          <w:b/>
          <w:noProof/>
          <w:sz w:val="17"/>
          <w:szCs w:val="17"/>
        </w:rPr>
        <w:t>CFP®</w:t>
      </w:r>
      <w:r>
        <w:rPr>
          <w:b/>
          <w:bCs/>
          <w:sz w:val="17"/>
          <w:szCs w:val="17"/>
        </w:rPr>
        <w:t>, SE-AWMA</w:t>
      </w:r>
      <w:r>
        <w:rPr>
          <w:sz w:val="17"/>
          <w:szCs w:val="17"/>
        </w:rPr>
        <w:t>™</w:t>
      </w:r>
      <w:r>
        <w:rPr>
          <w:sz w:val="14"/>
          <w:szCs w:val="14"/>
        </w:rPr>
        <w:t xml:space="preserve">    </w:t>
      </w:r>
      <w:r>
        <w:rPr>
          <w:b/>
          <w:sz w:val="18"/>
          <w:szCs w:val="18"/>
        </w:rPr>
        <w:t>Melanie Gilmore,</w:t>
      </w:r>
      <w:r>
        <w:rPr>
          <w:b/>
          <w:bCs/>
          <w:sz w:val="18"/>
          <w:szCs w:val="18"/>
        </w:rPr>
        <w:t xml:space="preserve"> </w:t>
      </w:r>
      <w:r>
        <w:rPr>
          <w:b/>
          <w:bCs/>
          <w:sz w:val="17"/>
          <w:szCs w:val="17"/>
        </w:rPr>
        <w:t>CRPC®, AWMA®</w:t>
      </w:r>
      <w:r>
        <w:rPr>
          <w:b/>
          <w:sz w:val="17"/>
          <w:szCs w:val="17"/>
        </w:rPr>
        <w:t xml:space="preserve">    </w:t>
      </w:r>
    </w:p>
    <w:p w14:paraId="00EA2810" w14:textId="77777777" w:rsidR="00741060" w:rsidRDefault="00741060" w:rsidP="00741060">
      <w:pPr>
        <w:rPr>
          <w:sz w:val="18"/>
          <w:szCs w:val="18"/>
        </w:rPr>
      </w:pPr>
      <w:r>
        <w:rPr>
          <w:sz w:val="18"/>
          <w:szCs w:val="18"/>
        </w:rPr>
        <w:t>Managing Director                Private Wealth Financial Advisor   Senior Vice President                     Financial Advisor</w:t>
      </w:r>
      <w:r>
        <w:rPr>
          <w:sz w:val="18"/>
          <w:szCs w:val="18"/>
        </w:rPr>
        <w:tab/>
      </w:r>
      <w:r>
        <w:rPr>
          <w:sz w:val="18"/>
          <w:szCs w:val="18"/>
        </w:rPr>
        <w:tab/>
        <w:t xml:space="preserve">                      Senior PIM                              Managing Director                           Josh.obrien@wfa.com                   Melanie.gilmore@wfa.com</w:t>
      </w:r>
    </w:p>
    <w:p w14:paraId="320F9719" w14:textId="77777777" w:rsidR="00741060" w:rsidRDefault="00741060" w:rsidP="00741060">
      <w:pPr>
        <w:rPr>
          <w:sz w:val="18"/>
          <w:szCs w:val="18"/>
        </w:rPr>
      </w:pPr>
      <w:r>
        <w:rPr>
          <w:sz w:val="18"/>
          <w:szCs w:val="18"/>
        </w:rPr>
        <w:t xml:space="preserve">Portfolio Manager                 Senior PIM                                                                                      </w:t>
      </w:r>
    </w:p>
    <w:p w14:paraId="1B247726" w14:textId="77777777" w:rsidR="00741060" w:rsidRDefault="00930E27" w:rsidP="00741060">
      <w:pPr>
        <w:rPr>
          <w:rStyle w:val="Hyperlink"/>
        </w:rPr>
      </w:pPr>
      <w:hyperlink r:id="rId8" w:history="1">
        <w:r w:rsidR="00741060">
          <w:rPr>
            <w:rStyle w:val="Hyperlink"/>
            <w:color w:val="auto"/>
            <w:sz w:val="18"/>
            <w:szCs w:val="18"/>
            <w:u w:val="none"/>
          </w:rPr>
          <w:t>Robert.palatella@wfa.com</w:t>
        </w:r>
      </w:hyperlink>
      <w:r w:rsidR="00741060">
        <w:t xml:space="preserve"> </w:t>
      </w:r>
      <w:r w:rsidR="00741060">
        <w:rPr>
          <w:sz w:val="18"/>
          <w:szCs w:val="18"/>
        </w:rPr>
        <w:t xml:space="preserve">Portfolio Manager               </w:t>
      </w:r>
      <w:r w:rsidR="00741060">
        <w:t xml:space="preserve">                                                     </w:t>
      </w:r>
      <w:r w:rsidR="00741060">
        <w:rPr>
          <w:sz w:val="18"/>
          <w:szCs w:val="18"/>
        </w:rPr>
        <w:t xml:space="preserve">                                                                                   </w:t>
      </w:r>
    </w:p>
    <w:p w14:paraId="60FB9C58" w14:textId="77777777" w:rsidR="00741060" w:rsidRDefault="00741060" w:rsidP="00741060">
      <w:r>
        <w:rPr>
          <w:sz w:val="18"/>
          <w:szCs w:val="18"/>
        </w:rPr>
        <w:t xml:space="preserve">                                                  Michael.j.obrien@wfa.com   </w:t>
      </w:r>
    </w:p>
    <w:p w14:paraId="6B1CF4BB" w14:textId="095AFC44" w:rsidR="009A20E4" w:rsidRDefault="009A20E4" w:rsidP="00B10BC9">
      <w:pPr>
        <w:rPr>
          <w:rFonts w:ascii="Verdana" w:eastAsia="Times New Roman" w:hAnsi="Verdana" w:cs="Times New Roman"/>
          <w:sz w:val="14"/>
          <w:szCs w:val="14"/>
        </w:rPr>
      </w:pPr>
    </w:p>
    <w:p w14:paraId="27883D51" w14:textId="5E891BD8" w:rsidR="00A277B9" w:rsidRPr="008122E8" w:rsidRDefault="00AD7E1F" w:rsidP="00804BA1">
      <w:pPr>
        <w:rPr>
          <w:rFonts w:ascii="Verdana" w:eastAsia="Times New Roman" w:hAnsi="Verdana" w:cs="Times New Roman"/>
          <w:sz w:val="16"/>
          <w:szCs w:val="16"/>
        </w:rPr>
      </w:pPr>
      <w:r w:rsidRPr="008122E8">
        <w:rPr>
          <w:rFonts w:ascii="Verdana" w:eastAsia="Times New Roman" w:hAnsi="Verdana" w:cs="Times New Roman"/>
          <w:b/>
          <w:bCs/>
          <w:sz w:val="16"/>
          <w:szCs w:val="16"/>
        </w:rPr>
        <w:t>La Jolla</w:t>
      </w:r>
      <w:r w:rsidR="00DC139A" w:rsidRPr="008122E8">
        <w:rPr>
          <w:rFonts w:ascii="Verdana" w:eastAsia="Times New Roman" w:hAnsi="Verdana" w:cs="Times New Roman"/>
          <w:b/>
          <w:bCs/>
          <w:sz w:val="16"/>
          <w:szCs w:val="16"/>
        </w:rPr>
        <w:t xml:space="preserve"> Private Wealth Group</w:t>
      </w:r>
      <w:r w:rsidR="00B10BC9" w:rsidRPr="008122E8">
        <w:rPr>
          <w:rFonts w:ascii="Verdana" w:eastAsia="Times New Roman" w:hAnsi="Verdana" w:cs="Times New Roman"/>
          <w:b/>
          <w:bCs/>
          <w:sz w:val="16"/>
          <w:szCs w:val="16"/>
        </w:rPr>
        <w:t>:</w:t>
      </w:r>
      <w:r w:rsidR="00B10BC9" w:rsidRPr="008122E8">
        <w:rPr>
          <w:rFonts w:ascii="Verdana" w:eastAsia="Times New Roman" w:hAnsi="Verdana" w:cs="Times New Roman"/>
          <w:sz w:val="16"/>
          <w:szCs w:val="16"/>
        </w:rPr>
        <w:t xml:space="preserve"> </w:t>
      </w:r>
      <w:hyperlink r:id="rId9" w:anchor="59bd938c42f0" w:history="1">
        <w:r w:rsidR="00DC139A" w:rsidRPr="008122E8">
          <w:rPr>
            <w:rStyle w:val="Hyperlink"/>
            <w:rFonts w:ascii="Verdana" w:eastAsia="Times New Roman" w:hAnsi="Verdana" w:cs="Times New Roman"/>
            <w:sz w:val="16"/>
            <w:szCs w:val="16"/>
          </w:rPr>
          <w:t>202</w:t>
        </w:r>
        <w:r w:rsidR="00110758">
          <w:rPr>
            <w:rStyle w:val="Hyperlink"/>
            <w:rFonts w:ascii="Verdana" w:eastAsia="Times New Roman" w:hAnsi="Verdana" w:cs="Times New Roman"/>
            <w:sz w:val="16"/>
            <w:szCs w:val="16"/>
          </w:rPr>
          <w:t>4</w:t>
        </w:r>
        <w:r w:rsidR="00DC139A" w:rsidRPr="008122E8">
          <w:rPr>
            <w:rStyle w:val="Hyperlink"/>
            <w:rFonts w:ascii="Verdana" w:eastAsia="Times New Roman" w:hAnsi="Verdana" w:cs="Times New Roman"/>
            <w:sz w:val="16"/>
            <w:szCs w:val="16"/>
          </w:rPr>
          <w:t xml:space="preserve"> Forbes Best-In-State Wealth Management Teams</w:t>
        </w:r>
      </w:hyperlink>
      <w:r w:rsidR="00B10BC9" w:rsidRPr="008122E8">
        <w:rPr>
          <w:rFonts w:ascii="Verdana" w:eastAsia="Times New Roman" w:hAnsi="Verdana" w:cs="Times New Roman"/>
          <w:sz w:val="16"/>
          <w:szCs w:val="16"/>
        </w:rPr>
        <w:t>.</w:t>
      </w:r>
      <w:r w:rsidR="009908EC">
        <w:rPr>
          <w:rFonts w:ascii="Verdana" w:eastAsia="Times New Roman" w:hAnsi="Verdana" w:cs="Times New Roman"/>
          <w:sz w:val="16"/>
          <w:szCs w:val="16"/>
        </w:rPr>
        <w:t xml:space="preserve"> </w:t>
      </w:r>
      <w:r w:rsidR="009908EC" w:rsidRPr="009908EC">
        <w:rPr>
          <w:rFonts w:ascii="Verdana" w:eastAsia="Times New Roman" w:hAnsi="Verdana" w:cs="Times New Roman"/>
          <w:sz w:val="16"/>
          <w:szCs w:val="16"/>
        </w:rPr>
        <w:t>Source: Forbes.com. 2024 Forbes Best-in-State Wealth Management Teams: Awarded January 2024; Data compiled by SHOOK Research LLC based on the time period from 3/31/22-3/31/23. Fee paid for use of marketing materials.</w:t>
      </w:r>
      <w:r w:rsidR="009908EC">
        <w:rPr>
          <w:rFonts w:ascii="Verdana" w:eastAsia="Times New Roman" w:hAnsi="Verdana" w:cs="Times New Roman"/>
          <w:sz w:val="16"/>
          <w:szCs w:val="16"/>
        </w:rPr>
        <w:t xml:space="preserve"> </w:t>
      </w:r>
      <w:r w:rsidR="000F75F6" w:rsidRPr="008122E8">
        <w:rPr>
          <w:rFonts w:ascii="Verdana" w:hAnsi="Verdana"/>
          <w:sz w:val="16"/>
          <w:szCs w:val="16"/>
          <w:lang w:val="en"/>
        </w:rPr>
        <w:t xml:space="preserve">The Forbes Best-In-State Wealth </w:t>
      </w:r>
      <w:r w:rsidR="00DC139A" w:rsidRPr="008122E8">
        <w:rPr>
          <w:rFonts w:ascii="Verdana" w:hAnsi="Verdana"/>
          <w:sz w:val="16"/>
          <w:szCs w:val="16"/>
          <w:lang w:val="en"/>
        </w:rPr>
        <w:t>Management Teams</w:t>
      </w:r>
      <w:r w:rsidR="000F75F6" w:rsidRPr="008122E8">
        <w:rPr>
          <w:rFonts w:ascii="Verdana" w:hAnsi="Verdana"/>
          <w:sz w:val="16"/>
          <w:szCs w:val="16"/>
          <w:lang w:val="en"/>
        </w:rPr>
        <w:t xml:space="preserve"> rating algorithm is based on the previous year’s industry experience, interviews, compliance records, assets under management, revenue and other criteria by SHOOK Research, LLC</w:t>
      </w:r>
      <w:r w:rsidR="00100C05" w:rsidRPr="008122E8">
        <w:rPr>
          <w:rFonts w:ascii="Verdana" w:hAnsi="Verdana"/>
          <w:sz w:val="16"/>
          <w:szCs w:val="16"/>
          <w:lang w:val="en"/>
        </w:rPr>
        <w:t xml:space="preserve">. </w:t>
      </w:r>
      <w:r w:rsidR="000F75F6" w:rsidRPr="008122E8">
        <w:rPr>
          <w:rFonts w:ascii="Verdana" w:hAnsi="Verdana"/>
          <w:sz w:val="16"/>
          <w:szCs w:val="16"/>
          <w:lang w:val="en"/>
        </w:rPr>
        <w:t>Investment performance is not a criterion. Self-completed survey was used for rating. This rating is not related to the quality of the investment advice and based solely on the disclosed criteria. Fee paid for use of logo.</w:t>
      </w:r>
    </w:p>
    <w:p w14:paraId="49F6592B" w14:textId="4CDEF3FC" w:rsidR="00F57D76" w:rsidRDefault="00F57D76" w:rsidP="00F57D76">
      <w:pPr>
        <w:autoSpaceDE w:val="0"/>
        <w:autoSpaceDN w:val="0"/>
        <w:adjustRightInd w:val="0"/>
        <w:jc w:val="both"/>
        <w:rPr>
          <w:b/>
          <w:bCs/>
          <w:color w:val="5B9BD5"/>
        </w:rPr>
      </w:pPr>
    </w:p>
    <w:p w14:paraId="52730BFA" w14:textId="6ACECA54" w:rsidR="005F595C" w:rsidRPr="003F5E65" w:rsidRDefault="003F5E65" w:rsidP="00F57D76">
      <w:pPr>
        <w:autoSpaceDE w:val="0"/>
        <w:autoSpaceDN w:val="0"/>
        <w:adjustRightInd w:val="0"/>
        <w:jc w:val="both"/>
        <w:rPr>
          <w:b/>
          <w:bCs/>
          <w:color w:val="5B9BD5"/>
          <w:sz w:val="21"/>
          <w:szCs w:val="21"/>
        </w:rPr>
      </w:pPr>
      <w:r w:rsidRPr="003F5E65">
        <w:rPr>
          <w:b/>
          <w:bCs/>
          <w:color w:val="5B9BD5"/>
          <w:sz w:val="21"/>
          <w:szCs w:val="21"/>
        </w:rPr>
        <w:t>The Fed expects interest rates to return to lower levels, albeit at a slower pace than previously anticipated</w:t>
      </w:r>
    </w:p>
    <w:p w14:paraId="74741435" w14:textId="237D9C7B" w:rsidR="009D1515" w:rsidRDefault="003F5E65" w:rsidP="003E6610">
      <w:pPr>
        <w:autoSpaceDE w:val="0"/>
        <w:autoSpaceDN w:val="0"/>
        <w:adjustRightInd w:val="0"/>
        <w:jc w:val="center"/>
        <w:rPr>
          <w:rFonts w:ascii="Times New Roman" w:hAnsi="Times New Roman" w:cs="Times New Roman"/>
          <w:sz w:val="16"/>
          <w:szCs w:val="14"/>
          <w:lang w:eastAsia="x-none"/>
        </w:rPr>
      </w:pPr>
      <w:r>
        <w:rPr>
          <w:rFonts w:ascii="Times New Roman" w:hAnsi="Times New Roman" w:cs="Times New Roman"/>
          <w:noProof/>
          <w:sz w:val="16"/>
          <w:szCs w:val="14"/>
          <w:lang w:eastAsia="x-none"/>
        </w:rPr>
        <w:drawing>
          <wp:inline distT="0" distB="0" distL="0" distR="0" wp14:anchorId="24E8E28B" wp14:editId="5ECBF501">
            <wp:extent cx="4429125" cy="4429125"/>
            <wp:effectExtent l="0" t="0" r="9525" b="9525"/>
            <wp:docPr id="5" name="Picture 5" descr="A graph with text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aph with text and numbers&#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29125" cy="4429125"/>
                    </a:xfrm>
                    <a:prstGeom prst="rect">
                      <a:avLst/>
                    </a:prstGeom>
                  </pic:spPr>
                </pic:pic>
              </a:graphicData>
            </a:graphic>
          </wp:inline>
        </w:drawing>
      </w:r>
    </w:p>
    <w:p w14:paraId="4BAD6022" w14:textId="26F6E145" w:rsidR="004354FA" w:rsidRPr="00BD306D" w:rsidRDefault="00056989" w:rsidP="004354FA">
      <w:pPr>
        <w:rPr>
          <w:sz w:val="12"/>
        </w:rPr>
      </w:pPr>
      <w:r>
        <w:rPr>
          <w:rStyle w:val="Hyperlink"/>
          <w:b/>
          <w:bCs/>
          <w:color w:val="5B9BD5"/>
          <w:u w:val="none"/>
        </w:rPr>
        <w:lastRenderedPageBreak/>
        <w:t>It took just 57 days for Bitcoin ETFs to surpass $50B in assets under management (AUM)</w:t>
      </w:r>
    </w:p>
    <w:p w14:paraId="15DBDFFE" w14:textId="5756FC56" w:rsidR="009D1515" w:rsidRDefault="00056989" w:rsidP="009D1515">
      <w:pPr>
        <w:autoSpaceDE w:val="0"/>
        <w:autoSpaceDN w:val="0"/>
        <w:adjustRightInd w:val="0"/>
        <w:jc w:val="center"/>
        <w:rPr>
          <w:rFonts w:ascii="Times New Roman" w:hAnsi="Times New Roman" w:cs="Times New Roman"/>
          <w:sz w:val="16"/>
          <w:szCs w:val="14"/>
          <w:lang w:eastAsia="x-none"/>
        </w:rPr>
      </w:pPr>
      <w:r>
        <w:rPr>
          <w:noProof/>
        </w:rPr>
        <w:drawing>
          <wp:inline distT="0" distB="0" distL="0" distR="0" wp14:anchorId="3F1B438A" wp14:editId="5D688191">
            <wp:extent cx="6182940" cy="265747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85798" cy="2658704"/>
                    </a:xfrm>
                    <a:prstGeom prst="rect">
                      <a:avLst/>
                    </a:prstGeom>
                  </pic:spPr>
                </pic:pic>
              </a:graphicData>
            </a:graphic>
          </wp:inline>
        </w:drawing>
      </w:r>
    </w:p>
    <w:p w14:paraId="7ADBFA61" w14:textId="77777777" w:rsidR="00A94749" w:rsidRDefault="00A94749" w:rsidP="00D70419">
      <w:pPr>
        <w:rPr>
          <w:b/>
          <w:bCs/>
          <w:color w:val="5B9BD5"/>
        </w:rPr>
      </w:pPr>
    </w:p>
    <w:p w14:paraId="60D2E235" w14:textId="4DB2A083" w:rsidR="00057D33" w:rsidRDefault="00B05476" w:rsidP="001B32DA">
      <w:pPr>
        <w:rPr>
          <w:b/>
          <w:bCs/>
          <w:color w:val="5B9BD5"/>
        </w:rPr>
      </w:pPr>
      <w:r>
        <w:rPr>
          <w:b/>
          <w:bCs/>
          <w:color w:val="5B9BD5"/>
        </w:rPr>
        <w:t xml:space="preserve">As obesity rates rise in the U.S., new weight-loss drugs have surged in </w:t>
      </w:r>
      <w:proofErr w:type="gramStart"/>
      <w:r>
        <w:rPr>
          <w:b/>
          <w:bCs/>
          <w:color w:val="5B9BD5"/>
        </w:rPr>
        <w:t>popularity</w:t>
      </w:r>
      <w:proofErr w:type="gramEnd"/>
    </w:p>
    <w:p w14:paraId="1FB78F37" w14:textId="28837F0B" w:rsidR="002C399F" w:rsidRDefault="00B05476" w:rsidP="002C399F">
      <w:pPr>
        <w:jc w:val="center"/>
        <w:rPr>
          <w:rStyle w:val="Hyperlink"/>
          <w:b/>
          <w:color w:val="5B9BD5" w:themeColor="accent1"/>
          <w:u w:val="none"/>
        </w:rPr>
      </w:pPr>
      <w:r>
        <w:rPr>
          <w:b/>
          <w:noProof/>
          <w:color w:val="5B9BD5" w:themeColor="accent1"/>
        </w:rPr>
        <w:drawing>
          <wp:inline distT="0" distB="0" distL="0" distR="0" wp14:anchorId="57ADA190" wp14:editId="12A70DF5">
            <wp:extent cx="4600575" cy="504982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a:extLst>
                        <a:ext uri="{28A0092B-C50C-407E-A947-70E740481C1C}">
                          <a14:useLocalDpi xmlns:a14="http://schemas.microsoft.com/office/drawing/2010/main" val="0"/>
                        </a:ext>
                      </a:extLst>
                    </a:blip>
                    <a:stretch>
                      <a:fillRect/>
                    </a:stretch>
                  </pic:blipFill>
                  <pic:spPr>
                    <a:xfrm>
                      <a:off x="0" y="0"/>
                      <a:ext cx="4654773" cy="5109312"/>
                    </a:xfrm>
                    <a:prstGeom prst="rect">
                      <a:avLst/>
                    </a:prstGeom>
                  </pic:spPr>
                </pic:pic>
              </a:graphicData>
            </a:graphic>
          </wp:inline>
        </w:drawing>
      </w:r>
    </w:p>
    <w:p w14:paraId="285ABF0A" w14:textId="44DD2301" w:rsidR="009D1515" w:rsidRPr="008E16B4" w:rsidRDefault="008E16B4" w:rsidP="008E16B4">
      <w:pPr>
        <w:rPr>
          <w:b/>
          <w:color w:val="5B9BD5" w:themeColor="accent1"/>
        </w:rPr>
      </w:pPr>
      <w:r w:rsidRPr="008E16B4">
        <w:rPr>
          <w:b/>
          <w:color w:val="5B9BD5" w:themeColor="accent1"/>
        </w:rPr>
        <w:lastRenderedPageBreak/>
        <w:t xml:space="preserve">High nominal interest rates have tended to contribute to lower price-to-earnings (P/E) </w:t>
      </w:r>
      <w:proofErr w:type="gramStart"/>
      <w:r w:rsidRPr="008E16B4">
        <w:rPr>
          <w:b/>
          <w:color w:val="5B9BD5" w:themeColor="accent1"/>
        </w:rPr>
        <w:t>multiples</w:t>
      </w:r>
      <w:proofErr w:type="gramEnd"/>
    </w:p>
    <w:p w14:paraId="38F802CD" w14:textId="119F618D" w:rsidR="008E16B4" w:rsidRDefault="008E16B4" w:rsidP="00B01C8D">
      <w:pPr>
        <w:rPr>
          <w:rStyle w:val="Hyperlink"/>
          <w:b/>
          <w:bCs/>
          <w:color w:val="5B9BD5"/>
          <w:u w:val="none"/>
        </w:rPr>
      </w:pPr>
      <w:r w:rsidRPr="008E16B4">
        <w:rPr>
          <w:rFonts w:asciiTheme="minorHAnsi" w:hAnsiTheme="minorHAnsi" w:cstheme="minorHAnsi"/>
          <w:noProof/>
          <w:sz w:val="14"/>
          <w:szCs w:val="12"/>
          <w:lang w:eastAsia="x-none"/>
        </w:rPr>
        <w:drawing>
          <wp:anchor distT="0" distB="0" distL="114300" distR="114300" simplePos="0" relativeHeight="251659264" behindDoc="0" locked="0" layoutInCell="1" allowOverlap="1" wp14:anchorId="6140092A" wp14:editId="20FB4E2D">
            <wp:simplePos x="0" y="0"/>
            <wp:positionH relativeFrom="column">
              <wp:posOffset>0</wp:posOffset>
            </wp:positionH>
            <wp:positionV relativeFrom="paragraph">
              <wp:posOffset>2856865</wp:posOffset>
            </wp:positionV>
            <wp:extent cx="5943600" cy="545465"/>
            <wp:effectExtent l="0" t="0" r="0" b="6985"/>
            <wp:wrapNone/>
            <wp:docPr id="2" name="table">
              <a:extLst xmlns:a="http://schemas.openxmlformats.org/drawingml/2006/main">
                <a:ext uri="{FF2B5EF4-FFF2-40B4-BE49-F238E27FC236}">
                  <a16:creationId xmlns:a16="http://schemas.microsoft.com/office/drawing/2014/main" id="{F6EB6144-CB20-149A-12F9-943DD477D6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F6EB6144-CB20-149A-12F9-943DD477D681}"/>
                        </a:ext>
                      </a:extLst>
                    </pic:cNvPr>
                    <pic:cNvPicPr>
                      <a:picLocks noChangeAspect="1"/>
                    </pic:cNvPicPr>
                  </pic:nvPicPr>
                  <pic:blipFill>
                    <a:blip r:embed="rId13"/>
                    <a:stretch>
                      <a:fillRect/>
                    </a:stretch>
                  </pic:blipFill>
                  <pic:spPr>
                    <a:xfrm>
                      <a:off x="0" y="0"/>
                      <a:ext cx="5943600" cy="545465"/>
                    </a:xfrm>
                    <a:prstGeom prst="rect">
                      <a:avLst/>
                    </a:prstGeom>
                  </pic:spPr>
                </pic:pic>
              </a:graphicData>
            </a:graphic>
          </wp:anchor>
        </w:drawing>
      </w:r>
      <w:r w:rsidRPr="008E16B4">
        <w:rPr>
          <w:rFonts w:asciiTheme="minorHAnsi" w:hAnsiTheme="minorHAnsi" w:cstheme="minorHAnsi"/>
          <w:noProof/>
          <w:sz w:val="14"/>
          <w:szCs w:val="12"/>
          <w:lang w:eastAsia="x-none"/>
        </w:rPr>
        <w:drawing>
          <wp:inline distT="0" distB="0" distL="0" distR="0" wp14:anchorId="039F7E41" wp14:editId="18BB384A">
            <wp:extent cx="5943600" cy="2856230"/>
            <wp:effectExtent l="0" t="0" r="0" b="1270"/>
            <wp:docPr id="3" name="Chart 3" descr="Bar chart showing the median trailing price-to-earnings ratio for different ranges of 10-year interest rates. For rates less than 2%, the median trailing P/E ratio was 19.2, for 2% – 4% it was 17.9, for 4% – 6% it was 18.3, for 6% – 8% it was 17.2, for 8% – 10% it was 13.1, for and greater than 10% it was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F3F4D6B" w14:textId="72430EE5" w:rsidR="00571DEB" w:rsidRDefault="00571DEB" w:rsidP="00B01C8D">
      <w:pPr>
        <w:rPr>
          <w:rStyle w:val="Hyperlink"/>
          <w:b/>
          <w:bCs/>
          <w:color w:val="5B9BD5"/>
          <w:u w:val="none"/>
        </w:rPr>
      </w:pPr>
    </w:p>
    <w:p w14:paraId="04519967" w14:textId="77777777" w:rsidR="008E16B4" w:rsidRDefault="008E16B4" w:rsidP="009C3292">
      <w:pPr>
        <w:rPr>
          <w:b/>
          <w:bCs/>
          <w:color w:val="5B9BD5"/>
        </w:rPr>
      </w:pPr>
    </w:p>
    <w:p w14:paraId="68A7F2D0" w14:textId="77777777" w:rsidR="008E16B4" w:rsidRDefault="008E16B4" w:rsidP="009C3292">
      <w:pPr>
        <w:rPr>
          <w:b/>
          <w:bCs/>
          <w:color w:val="5B9BD5"/>
        </w:rPr>
      </w:pPr>
    </w:p>
    <w:p w14:paraId="77B23B23" w14:textId="77777777" w:rsidR="008E16B4" w:rsidRPr="008E16B4" w:rsidRDefault="008E16B4" w:rsidP="008E16B4">
      <w:pPr>
        <w:rPr>
          <w:sz w:val="14"/>
          <w:szCs w:val="14"/>
        </w:rPr>
      </w:pPr>
      <w:r w:rsidRPr="008E16B4">
        <w:rPr>
          <w:sz w:val="14"/>
          <w:szCs w:val="14"/>
        </w:rPr>
        <w:t xml:space="preserve">Sources: Bloomberg and Wells Fargo Investment Institute. Monthly data from January 1, </w:t>
      </w:r>
      <w:proofErr w:type="gramStart"/>
      <w:r w:rsidRPr="008E16B4">
        <w:rPr>
          <w:sz w:val="14"/>
          <w:szCs w:val="14"/>
        </w:rPr>
        <w:t>1963</w:t>
      </w:r>
      <w:proofErr w:type="gramEnd"/>
      <w:r w:rsidRPr="008E16B4">
        <w:rPr>
          <w:sz w:val="14"/>
          <w:szCs w:val="14"/>
        </w:rPr>
        <w:t xml:space="preserve"> to December 31, 2023. Inflation data as of November 30, 2023. The average price to earnings was calculated using the S&amp;P 500 index from 1963 – December 2023. The S&amp;P 500 Index is a market-capitalization-weighted index considered representative of the U.S. stock market. Inflation represented by the Consumer Price Index. The Consumer Price Index measures the average price of a basket of goods and services. An index is unmanaged and not available for direct investment. Past performance is no guarantee of future results. </w:t>
      </w:r>
    </w:p>
    <w:p w14:paraId="4E98540C" w14:textId="77777777" w:rsidR="008E16B4" w:rsidRDefault="008E16B4" w:rsidP="009C3292">
      <w:pPr>
        <w:rPr>
          <w:b/>
          <w:bCs/>
          <w:color w:val="5B9BD5"/>
        </w:rPr>
      </w:pPr>
    </w:p>
    <w:p w14:paraId="057FD389" w14:textId="44D98E1D" w:rsidR="00C57630" w:rsidRDefault="003F5E65" w:rsidP="009C3292">
      <w:pPr>
        <w:rPr>
          <w:b/>
          <w:bCs/>
          <w:color w:val="5B9BD5"/>
        </w:rPr>
      </w:pPr>
      <w:r>
        <w:rPr>
          <w:b/>
          <w:bCs/>
          <w:color w:val="5B9BD5"/>
        </w:rPr>
        <w:t xml:space="preserve">We expect IPO activity to pick up further in </w:t>
      </w:r>
      <w:proofErr w:type="gramStart"/>
      <w:r>
        <w:rPr>
          <w:b/>
          <w:bCs/>
          <w:color w:val="5B9BD5"/>
        </w:rPr>
        <w:t>2024</w:t>
      </w:r>
      <w:proofErr w:type="gramEnd"/>
    </w:p>
    <w:p w14:paraId="785134F9" w14:textId="2B7BA8D4" w:rsidR="003F5E65" w:rsidRDefault="003F5E65" w:rsidP="003F5E65">
      <w:pPr>
        <w:jc w:val="center"/>
        <w:rPr>
          <w:b/>
          <w:bCs/>
          <w:color w:val="5B9BD5"/>
        </w:rPr>
      </w:pPr>
      <w:r>
        <w:rPr>
          <w:b/>
          <w:bCs/>
          <w:noProof/>
          <w:color w:val="5B9BD5"/>
        </w:rPr>
        <w:drawing>
          <wp:inline distT="0" distB="0" distL="0" distR="0" wp14:anchorId="4208A7FB" wp14:editId="7F403F5E">
            <wp:extent cx="3838575" cy="3838575"/>
            <wp:effectExtent l="0" t="0" r="9525" b="9525"/>
            <wp:docPr id="6" name="Picture 6" descr="A graph of a number of ipo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aph of a number of ipos&#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38575" cy="3838575"/>
                    </a:xfrm>
                    <a:prstGeom prst="rect">
                      <a:avLst/>
                    </a:prstGeom>
                  </pic:spPr>
                </pic:pic>
              </a:graphicData>
            </a:graphic>
          </wp:inline>
        </w:drawing>
      </w:r>
    </w:p>
    <w:p w14:paraId="3EECBE61" w14:textId="69743121" w:rsidR="008E16B4" w:rsidRPr="003F5E65" w:rsidRDefault="00FC582E" w:rsidP="009C3292">
      <w:pPr>
        <w:rPr>
          <w:sz w:val="12"/>
        </w:rPr>
      </w:pPr>
      <w:r>
        <w:rPr>
          <w:rStyle w:val="Hyperlink"/>
          <w:b/>
          <w:bCs/>
          <w:color w:val="5B9BD5"/>
          <w:u w:val="none"/>
        </w:rPr>
        <w:lastRenderedPageBreak/>
        <w:t>In 2023, the U.S. produced 28% more oil than Russia and 33% more oil than Saudi Arabia</w:t>
      </w:r>
    </w:p>
    <w:p w14:paraId="279471CE" w14:textId="0602B3B6" w:rsidR="009D1515" w:rsidRDefault="00FC582E" w:rsidP="009D1515">
      <w:pPr>
        <w:autoSpaceDE w:val="0"/>
        <w:autoSpaceDN w:val="0"/>
        <w:adjustRightInd w:val="0"/>
        <w:jc w:val="center"/>
        <w:rPr>
          <w:rFonts w:ascii="Times New Roman" w:hAnsi="Times New Roman" w:cs="Times New Roman"/>
          <w:sz w:val="16"/>
          <w:szCs w:val="14"/>
          <w:lang w:eastAsia="x-none"/>
        </w:rPr>
      </w:pPr>
      <w:r>
        <w:rPr>
          <w:rFonts w:ascii="Times New Roman" w:hAnsi="Times New Roman" w:cs="Times New Roman"/>
          <w:noProof/>
          <w:sz w:val="16"/>
          <w:szCs w:val="14"/>
          <w:lang w:eastAsia="x-none"/>
        </w:rPr>
        <w:drawing>
          <wp:inline distT="0" distB="0" distL="0" distR="0" wp14:anchorId="30B4FA73" wp14:editId="66E0DF5E">
            <wp:extent cx="3676650" cy="3676650"/>
            <wp:effectExtent l="0" t="0" r="0" b="0"/>
            <wp:docPr id="9" name="Picture 9" descr="A graph of oil pric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aph of oil price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77224" cy="3677224"/>
                    </a:xfrm>
                    <a:prstGeom prst="rect">
                      <a:avLst/>
                    </a:prstGeom>
                  </pic:spPr>
                </pic:pic>
              </a:graphicData>
            </a:graphic>
          </wp:inline>
        </w:drawing>
      </w:r>
    </w:p>
    <w:p w14:paraId="038F8B3C" w14:textId="77777777" w:rsidR="00D73794" w:rsidRPr="00B01C8D" w:rsidRDefault="00D73794" w:rsidP="005E3951">
      <w:pPr>
        <w:rPr>
          <w:rStyle w:val="Hyperlink"/>
          <w:b/>
          <w:bCs/>
          <w:color w:val="5B9BD5"/>
          <w:sz w:val="21"/>
          <w:szCs w:val="21"/>
          <w:u w:val="none"/>
        </w:rPr>
      </w:pPr>
    </w:p>
    <w:p w14:paraId="3FAEE60D" w14:textId="75DA7C62" w:rsidR="004F7767" w:rsidRPr="00BD306D" w:rsidRDefault="00FC582E" w:rsidP="004F7767">
      <w:pPr>
        <w:rPr>
          <w:sz w:val="12"/>
        </w:rPr>
      </w:pPr>
      <w:r>
        <w:rPr>
          <w:rStyle w:val="Hyperlink"/>
          <w:b/>
          <w:bCs/>
          <w:color w:val="5B9BD5"/>
          <w:u w:val="none"/>
        </w:rPr>
        <w:t xml:space="preserve">Despite the production upswing, the # of crude oil rigs has fallen by about 1/3 versus 10 years </w:t>
      </w:r>
      <w:proofErr w:type="gramStart"/>
      <w:r>
        <w:rPr>
          <w:rStyle w:val="Hyperlink"/>
          <w:b/>
          <w:bCs/>
          <w:color w:val="5B9BD5"/>
          <w:u w:val="none"/>
        </w:rPr>
        <w:t>ago</w:t>
      </w:r>
      <w:proofErr w:type="gramEnd"/>
    </w:p>
    <w:p w14:paraId="33786B26" w14:textId="1B7CF370" w:rsidR="00184002" w:rsidRDefault="00FC582E" w:rsidP="00184002">
      <w:pPr>
        <w:jc w:val="center"/>
        <w:rPr>
          <w:noProof/>
        </w:rPr>
      </w:pPr>
      <w:r>
        <w:rPr>
          <w:noProof/>
        </w:rPr>
        <w:drawing>
          <wp:inline distT="0" distB="0" distL="0" distR="0" wp14:anchorId="2393E196" wp14:editId="5127604C">
            <wp:extent cx="4019550" cy="40195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19550" cy="4019550"/>
                    </a:xfrm>
                    <a:prstGeom prst="rect">
                      <a:avLst/>
                    </a:prstGeom>
                  </pic:spPr>
                </pic:pic>
              </a:graphicData>
            </a:graphic>
          </wp:inline>
        </w:drawing>
      </w:r>
    </w:p>
    <w:p w14:paraId="5E0995FE" w14:textId="4C46AF6C" w:rsidR="00E01956" w:rsidRPr="00EB7CC8" w:rsidRDefault="00174076" w:rsidP="00E01956">
      <w:pPr>
        <w:rPr>
          <w:b/>
          <w:bCs/>
          <w:color w:val="5B9BD5"/>
        </w:rPr>
      </w:pPr>
      <w:r>
        <w:rPr>
          <w:b/>
          <w:bCs/>
          <w:color w:val="5B9BD5"/>
        </w:rPr>
        <w:lastRenderedPageBreak/>
        <w:t>The Bank of Jap</w:t>
      </w:r>
      <w:r w:rsidR="00FC582E">
        <w:rPr>
          <w:b/>
          <w:bCs/>
          <w:color w:val="5B9BD5"/>
        </w:rPr>
        <w:t>a</w:t>
      </w:r>
      <w:r>
        <w:rPr>
          <w:b/>
          <w:bCs/>
          <w:color w:val="5B9BD5"/>
        </w:rPr>
        <w:t xml:space="preserve">n’s decade-long fight against deflation has resulted in near-zero returns at home, forcing Japanese investors to move their money abroad, often to the United States. </w:t>
      </w:r>
    </w:p>
    <w:p w14:paraId="2065E519" w14:textId="0F15F5CA" w:rsidR="0077193B" w:rsidRPr="009C3292" w:rsidRDefault="00174076" w:rsidP="009C3292">
      <w:pPr>
        <w:autoSpaceDE w:val="0"/>
        <w:autoSpaceDN w:val="0"/>
        <w:adjustRightInd w:val="0"/>
        <w:jc w:val="center"/>
        <w:rPr>
          <w:rFonts w:ascii="Times New Roman" w:hAnsi="Times New Roman" w:cs="Times New Roman"/>
          <w:sz w:val="16"/>
          <w:szCs w:val="14"/>
          <w:lang w:eastAsia="x-none"/>
        </w:rPr>
      </w:pPr>
      <w:r>
        <w:rPr>
          <w:rFonts w:ascii="Times New Roman" w:hAnsi="Times New Roman" w:cs="Times New Roman"/>
          <w:noProof/>
          <w:sz w:val="16"/>
          <w:szCs w:val="14"/>
          <w:lang w:eastAsia="x-none"/>
        </w:rPr>
        <w:drawing>
          <wp:inline distT="0" distB="0" distL="0" distR="0" wp14:anchorId="5882FB35" wp14:editId="768FA1D4">
            <wp:extent cx="3552825" cy="35528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52825" cy="3552825"/>
                    </a:xfrm>
                    <a:prstGeom prst="rect">
                      <a:avLst/>
                    </a:prstGeom>
                  </pic:spPr>
                </pic:pic>
              </a:graphicData>
            </a:graphic>
          </wp:inline>
        </w:drawing>
      </w:r>
    </w:p>
    <w:p w14:paraId="52C1DD3B" w14:textId="77777777" w:rsidR="00EF145A" w:rsidRDefault="00EF145A" w:rsidP="009C3292">
      <w:pPr>
        <w:autoSpaceDE w:val="0"/>
        <w:autoSpaceDN w:val="0"/>
        <w:adjustRightInd w:val="0"/>
        <w:jc w:val="center"/>
        <w:rPr>
          <w:b/>
          <w:color w:val="5B9BD5" w:themeColor="accent1"/>
        </w:rPr>
      </w:pPr>
    </w:p>
    <w:p w14:paraId="29924A9A" w14:textId="43A94546" w:rsidR="002C399F" w:rsidRPr="00EB7CC8" w:rsidRDefault="005958C2" w:rsidP="002C399F">
      <w:pPr>
        <w:rPr>
          <w:b/>
          <w:bCs/>
          <w:color w:val="5B9BD5"/>
        </w:rPr>
      </w:pPr>
      <w:r>
        <w:rPr>
          <w:b/>
          <w:bCs/>
          <w:color w:val="5B9BD5"/>
        </w:rPr>
        <w:t>Finding a potential balance between risk and reward</w:t>
      </w:r>
    </w:p>
    <w:p w14:paraId="6C44B4CF" w14:textId="18DFBDED" w:rsidR="002C399F" w:rsidRPr="009C3292" w:rsidRDefault="005958C2" w:rsidP="002C399F">
      <w:pPr>
        <w:autoSpaceDE w:val="0"/>
        <w:autoSpaceDN w:val="0"/>
        <w:adjustRightInd w:val="0"/>
        <w:jc w:val="center"/>
        <w:rPr>
          <w:rFonts w:ascii="Times New Roman" w:hAnsi="Times New Roman" w:cs="Times New Roman"/>
          <w:sz w:val="16"/>
          <w:szCs w:val="14"/>
          <w:lang w:eastAsia="x-none"/>
        </w:rPr>
      </w:pPr>
      <w:r w:rsidRPr="005958C2">
        <w:rPr>
          <w:rFonts w:ascii="Times New Roman" w:hAnsi="Times New Roman" w:cs="Times New Roman"/>
          <w:noProof/>
          <w:sz w:val="16"/>
          <w:szCs w:val="14"/>
          <w:lang w:eastAsia="x-none"/>
        </w:rPr>
        <w:drawing>
          <wp:inline distT="0" distB="0" distL="0" distR="0" wp14:anchorId="5A85E571" wp14:editId="4FD37408">
            <wp:extent cx="5943600" cy="2781300"/>
            <wp:effectExtent l="0" t="0" r="0" b="0"/>
            <wp:docPr id="4" name="Chart 4" descr="This scatter plot measures performance vs. risk by asset class for 15 years, ending December 31, 2023. Returns are listed as follows: Moderate growth and income liquid: 8.3%, Emerging market equities: 6.9%, Developed market ex-U.S. equities: 7.4%, Investment grade fixed income: 2.7%, Commodities: -0.2%, U.S. Large Cap Equities: 14.0%, Hedge Funds: 5.6%, U.S. Small Cap Equities: 11.3%, U.S. Mid Cap Equities: 13.6%, Emerging market fixed income: 5.8%, Developed market ex-U.S. fixed income: -0.1%, High Yield FI: 9.2%. Standard deviations are listed as follows: Moderate growth and income liquid: 9.8%, Emerging market equities: 19.2%, Developed market ex-U.S. equities: 16.8%, Investment grade fixed income: 4.2%, Commodities: 14.9%, U.S. Large Cap Equities: 15.4%, Hedge Funds: 6.1%, U.S. Small Cap Equities: 20.5%, U.S. Mid Cap Equities: 17.5%, Emerging market fixed income: 8.4%, Developed market ex-U.S. fixed income: 8.4%, High Yield FI: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015EE62" w14:textId="77777777" w:rsidR="005958C2" w:rsidRPr="005958C2" w:rsidRDefault="005958C2" w:rsidP="005958C2">
      <w:pPr>
        <w:autoSpaceDE w:val="0"/>
        <w:autoSpaceDN w:val="0"/>
        <w:adjustRightInd w:val="0"/>
        <w:rPr>
          <w:bCs/>
          <w:sz w:val="14"/>
          <w:szCs w:val="14"/>
        </w:rPr>
      </w:pPr>
      <w:r w:rsidRPr="005958C2">
        <w:rPr>
          <w:bCs/>
          <w:sz w:val="14"/>
          <w:szCs w:val="14"/>
        </w:rPr>
        <w:t>Sources: © 2023 – Morningstar Direct, All Rights Reserved</w:t>
      </w:r>
      <w:r w:rsidRPr="005958C2">
        <w:rPr>
          <w:bCs/>
          <w:sz w:val="14"/>
          <w:szCs w:val="14"/>
          <w:vertAlign w:val="superscript"/>
        </w:rPr>
        <w:t>1</w:t>
      </w:r>
      <w:r w:rsidRPr="005958C2">
        <w:rPr>
          <w:bCs/>
          <w:sz w:val="14"/>
          <w:szCs w:val="14"/>
        </w:rPr>
        <w:t xml:space="preserve">, and Wells Fargo Investment Institute. Data from January 1, </w:t>
      </w:r>
      <w:proofErr w:type="gramStart"/>
      <w:r w:rsidRPr="005958C2">
        <w:rPr>
          <w:bCs/>
          <w:sz w:val="14"/>
          <w:szCs w:val="14"/>
        </w:rPr>
        <w:t>2009</w:t>
      </w:r>
      <w:proofErr w:type="gramEnd"/>
      <w:r w:rsidRPr="005958C2">
        <w:rPr>
          <w:bCs/>
          <w:sz w:val="14"/>
          <w:szCs w:val="14"/>
        </w:rPr>
        <w:t xml:space="preserve"> to December 31, 2023. Performance results for Moderate Growth and Income Liquid are calculated using blended index returns and is for illustrative purposes only. Moderate Growth &amp; Income allocation is </w:t>
      </w:r>
      <w:proofErr w:type="gramStart"/>
      <w:r w:rsidRPr="005958C2">
        <w:rPr>
          <w:bCs/>
          <w:sz w:val="14"/>
          <w:szCs w:val="14"/>
        </w:rPr>
        <w:t>dynamic</w:t>
      </w:r>
      <w:proofErr w:type="gramEnd"/>
      <w:r w:rsidRPr="005958C2">
        <w:rPr>
          <w:bCs/>
          <w:sz w:val="14"/>
          <w:szCs w:val="14"/>
        </w:rPr>
        <w:t xml:space="preserve"> and changes as needed with adjustments to the strategic allocations. Index returns do not represent investment performance or the results of actual trading. Index returns reflect general market results, assume the reinvestment of dividends and other distributions, and do not reflect deduction for fees, expenses or taxes applicable to an actual investment. Unlike most asset class Indexes, HFR Index returns are net of all fees. Because the HFR Indexes are calculated based on information that is voluntarily provided actual returns may be lower than those reported. An index is unmanaged and not available for direct investment. </w:t>
      </w:r>
      <w:r w:rsidRPr="005958C2">
        <w:rPr>
          <w:b/>
          <w:bCs/>
          <w:sz w:val="14"/>
          <w:szCs w:val="14"/>
        </w:rPr>
        <w:t>Past performance is no guarantee of future results</w:t>
      </w:r>
      <w:r w:rsidRPr="005958C2">
        <w:rPr>
          <w:bCs/>
          <w:sz w:val="14"/>
          <w:szCs w:val="14"/>
        </w:rPr>
        <w:t>. Standard deviation is a measure of the volatility of returns. The higher the standard deviation, the greater volatility has been. See following pages for the blended index composition, risks and definitions of indexes.</w:t>
      </w:r>
    </w:p>
    <w:p w14:paraId="746713D1" w14:textId="77777777" w:rsidR="005958C2" w:rsidRPr="005958C2" w:rsidRDefault="005958C2" w:rsidP="005958C2">
      <w:pPr>
        <w:autoSpaceDE w:val="0"/>
        <w:autoSpaceDN w:val="0"/>
        <w:adjustRightInd w:val="0"/>
        <w:rPr>
          <w:bCs/>
          <w:sz w:val="14"/>
          <w:szCs w:val="14"/>
        </w:rPr>
      </w:pPr>
      <w:r w:rsidRPr="005958C2">
        <w:rPr>
          <w:bCs/>
          <w:sz w:val="14"/>
          <w:szCs w:val="14"/>
          <w:vertAlign w:val="superscript"/>
        </w:rPr>
        <w:t xml:space="preserve">1 </w:t>
      </w:r>
      <w:r w:rsidRPr="005958C2">
        <w:rPr>
          <w:bCs/>
          <w:sz w:val="14"/>
          <w:szCs w:val="14"/>
        </w:rPr>
        <w:t>All Rights Reserved. The information contained herein: (1) is proprietary to Morningstar and/or its content providers; (2) may not be copied or distributed; and (3) is not warranted to be accurate, complete or timely. Neither Morningstar nor its content providers are responsible for any damages or losses arising from any use of this information.</w:t>
      </w:r>
    </w:p>
    <w:p w14:paraId="0FBF7C70" w14:textId="684C8EF7" w:rsidR="00335BAA" w:rsidRPr="005958C2" w:rsidRDefault="00335BAA" w:rsidP="005958C2">
      <w:pPr>
        <w:autoSpaceDE w:val="0"/>
        <w:autoSpaceDN w:val="0"/>
        <w:adjustRightInd w:val="0"/>
        <w:rPr>
          <w:bCs/>
          <w:sz w:val="14"/>
          <w:szCs w:val="14"/>
        </w:rPr>
        <w:sectPr w:rsidR="00335BAA" w:rsidRPr="005958C2" w:rsidSect="00BF7DD2">
          <w:headerReference w:type="default" r:id="rId20"/>
          <w:headerReference w:type="first" r:id="rId21"/>
          <w:footerReference w:type="first" r:id="rId22"/>
          <w:pgSz w:w="12240" w:h="15840"/>
          <w:pgMar w:top="1440" w:right="1440" w:bottom="1440" w:left="1440" w:header="216" w:footer="432" w:gutter="0"/>
          <w:cols w:space="720"/>
          <w:titlePg/>
          <w:docGrid w:linePitch="360"/>
        </w:sectPr>
      </w:pPr>
    </w:p>
    <w:p w14:paraId="13EA9262" w14:textId="6C13BD01" w:rsidR="005B28AF" w:rsidRDefault="00FC582E" w:rsidP="00040EE5">
      <w:pPr>
        <w:rPr>
          <w:b/>
          <w:bCs/>
          <w:color w:val="5B9BD5"/>
        </w:rPr>
      </w:pPr>
      <w:r>
        <w:rPr>
          <w:b/>
          <w:bCs/>
          <w:color w:val="5B9BD5"/>
        </w:rPr>
        <w:lastRenderedPageBreak/>
        <w:t xml:space="preserve">Idaho, Florida, South Carolina, and Texas have grown populations 4.3% to 6.2% since </w:t>
      </w:r>
      <w:proofErr w:type="gramStart"/>
      <w:r>
        <w:rPr>
          <w:b/>
          <w:bCs/>
          <w:color w:val="5B9BD5"/>
        </w:rPr>
        <w:t>2020</w:t>
      </w:r>
      <w:proofErr w:type="gramEnd"/>
    </w:p>
    <w:p w14:paraId="28FE7339" w14:textId="0287FDD6" w:rsidR="004D70CA" w:rsidRDefault="00FC582E" w:rsidP="00932DEE">
      <w:pPr>
        <w:jc w:val="center"/>
        <w:rPr>
          <w:color w:val="1F497D"/>
        </w:rPr>
      </w:pPr>
      <w:r>
        <w:rPr>
          <w:noProof/>
          <w:color w:val="1F497D"/>
        </w:rPr>
        <w:drawing>
          <wp:inline distT="0" distB="0" distL="0" distR="0" wp14:anchorId="36219E2F" wp14:editId="2EC0CF9A">
            <wp:extent cx="5943600" cy="5943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3">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42ADFFA6" w14:textId="77777777" w:rsidR="00245E7F" w:rsidRDefault="00CC3027" w:rsidP="00156DFC">
      <w:pPr>
        <w:rPr>
          <w:b/>
          <w:bCs/>
          <w:color w:val="5B9BD5"/>
          <w:u w:val="single"/>
        </w:rPr>
      </w:pPr>
      <w:r>
        <w:rPr>
          <w:b/>
          <w:bCs/>
          <w:color w:val="5B9BD5"/>
          <w:u w:val="single"/>
        </w:rPr>
        <w:t>Article</w:t>
      </w:r>
      <w:r w:rsidR="008309B4">
        <w:rPr>
          <w:b/>
          <w:bCs/>
          <w:color w:val="5B9BD5"/>
          <w:u w:val="single"/>
        </w:rPr>
        <w:t>s</w:t>
      </w:r>
      <w:r w:rsidR="00016414">
        <w:rPr>
          <w:b/>
          <w:bCs/>
          <w:color w:val="5B9BD5"/>
          <w:u w:val="single"/>
        </w:rPr>
        <w:t xml:space="preserve"> of the month:</w:t>
      </w:r>
    </w:p>
    <w:p w14:paraId="1160CE98" w14:textId="12B4F1D4" w:rsidR="008C3799" w:rsidRDefault="00016414" w:rsidP="00156DFC">
      <w:pPr>
        <w:rPr>
          <w:b/>
          <w:bCs/>
          <w:color w:val="5B9BD5"/>
          <w:u w:val="single"/>
        </w:rPr>
      </w:pPr>
      <w:r>
        <w:rPr>
          <w:b/>
          <w:bCs/>
          <w:color w:val="5B9BD5"/>
          <w:u w:val="single"/>
        </w:rPr>
        <w:t xml:space="preserve"> </w:t>
      </w:r>
    </w:p>
    <w:p w14:paraId="0A165026" w14:textId="13FC16BE" w:rsidR="00A11928" w:rsidRDefault="00056989" w:rsidP="002F2E59">
      <w:pPr>
        <w:rPr>
          <w:b/>
          <w:bCs/>
        </w:rPr>
      </w:pPr>
      <w:r>
        <w:rPr>
          <w:b/>
          <w:bCs/>
        </w:rPr>
        <w:t>Teaching kids about money</w:t>
      </w:r>
    </w:p>
    <w:p w14:paraId="150D882A" w14:textId="318573C2" w:rsidR="00571DEB" w:rsidRPr="00DA33C2" w:rsidRDefault="00930E27" w:rsidP="002F2E59">
      <w:hyperlink r:id="rId24" w:history="1">
        <w:r w:rsidR="004A672D" w:rsidRPr="00056989">
          <w:rPr>
            <w:rStyle w:val="Hyperlink"/>
          </w:rPr>
          <w:t>Click Here to Read</w:t>
        </w:r>
      </w:hyperlink>
    </w:p>
    <w:p w14:paraId="72208D63" w14:textId="7C44D2C1" w:rsidR="00DE1075" w:rsidRDefault="00DE1075" w:rsidP="002F2E59"/>
    <w:p w14:paraId="349EF4E5" w14:textId="55EBE625" w:rsidR="00B11F42" w:rsidRDefault="00056989" w:rsidP="00B11F42">
      <w:pPr>
        <w:rPr>
          <w:rFonts w:asciiTheme="minorHAnsi" w:hAnsiTheme="minorHAnsi" w:cstheme="minorBidi"/>
          <w:b/>
          <w:bCs/>
        </w:rPr>
      </w:pPr>
      <w:r>
        <w:rPr>
          <w:b/>
          <w:bCs/>
        </w:rPr>
        <w:t xml:space="preserve">20 lessons from 20 years of managing </w:t>
      </w:r>
      <w:proofErr w:type="gramStart"/>
      <w:r>
        <w:rPr>
          <w:b/>
          <w:bCs/>
        </w:rPr>
        <w:t>money</w:t>
      </w:r>
      <w:proofErr w:type="gramEnd"/>
    </w:p>
    <w:p w14:paraId="73CEA38C" w14:textId="7D60FAF2" w:rsidR="009E6376" w:rsidRPr="00D10418" w:rsidRDefault="00930E27" w:rsidP="002F2E59">
      <w:hyperlink r:id="rId25" w:anchor="fireglass_params&amp;tabid=a24148601eb67bcc&amp;start_with_session_counter=2&amp;application_server_address=wellsfargoprod9-us-west1.prod.fire.glass" w:history="1">
        <w:r w:rsidR="004A672D" w:rsidRPr="00056989">
          <w:rPr>
            <w:rStyle w:val="Hyperlink"/>
          </w:rPr>
          <w:t>Click Here to Read</w:t>
        </w:r>
      </w:hyperlink>
    </w:p>
    <w:p w14:paraId="2B23AD1D" w14:textId="32429CBC" w:rsidR="00245E7F" w:rsidRPr="0023111D" w:rsidRDefault="00245E7F" w:rsidP="002F2E59">
      <w:pPr>
        <w:rPr>
          <w:sz w:val="18"/>
          <w:szCs w:val="18"/>
        </w:rPr>
      </w:pPr>
    </w:p>
    <w:p w14:paraId="4DD50777" w14:textId="00E98554" w:rsidR="00280A08" w:rsidRPr="0023111D" w:rsidRDefault="00280A08" w:rsidP="002F2E59">
      <w:pPr>
        <w:rPr>
          <w:rFonts w:ascii="Times New Roman" w:hAnsi="Times New Roman" w:cs="Times New Roman"/>
          <w:sz w:val="10"/>
          <w:szCs w:val="18"/>
        </w:rPr>
      </w:pPr>
      <w:r w:rsidRPr="0023111D">
        <w:rPr>
          <w:sz w:val="16"/>
          <w:szCs w:val="18"/>
          <w:lang w:val="en"/>
        </w:rPr>
        <w:t>The opinions expressed here reflect the judgment of the author as of the date of the report and are subject to change without notice. The material has been prepared or is distributed solely for information purposes.</w:t>
      </w:r>
      <w:r w:rsidR="00834535" w:rsidRPr="0023111D">
        <w:rPr>
          <w:sz w:val="16"/>
          <w:szCs w:val="18"/>
          <w:lang w:val="en"/>
        </w:rPr>
        <w:t xml:space="preserve"> Please note that we are not responsible for the information contained on the listed web site(s). The site(s) is/are provided to you for informational purposes only. </w:t>
      </w:r>
      <w:bookmarkEnd w:id="0"/>
    </w:p>
    <w:sectPr w:rsidR="00280A08" w:rsidRPr="0023111D" w:rsidSect="00BF7DD2">
      <w:headerReference w:type="first" r:id="rId26"/>
      <w:footerReference w:type="first" r:id="rId27"/>
      <w:pgSz w:w="12240" w:h="15840"/>
      <w:pgMar w:top="1440" w:right="1440" w:bottom="1440" w:left="1440" w:header="288"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6E4E0F" w14:textId="77777777" w:rsidR="00113870" w:rsidRDefault="00113870" w:rsidP="00CC380D">
      <w:r>
        <w:separator/>
      </w:r>
    </w:p>
  </w:endnote>
  <w:endnote w:type="continuationSeparator" w:id="0">
    <w:p w14:paraId="4119AB76" w14:textId="77777777" w:rsidR="00113870" w:rsidRDefault="00113870" w:rsidP="00CC38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ells Fargo Sans">
    <w:panose1 w:val="020B0503020203020204"/>
    <w:charset w:val="00"/>
    <w:family w:val="swiss"/>
    <w:pitch w:val="variable"/>
    <w:sig w:usb0="A000006F" w:usb1="4000004B" w:usb2="00000000" w:usb3="00000000" w:csb0="00000013"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827"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827"/>
    </w:tblGrid>
    <w:tr w:rsidR="00155462" w:rsidRPr="00E129AA" w14:paraId="07503306" w14:textId="77777777" w:rsidTr="00913959">
      <w:trPr>
        <w:trHeight w:val="462"/>
      </w:trPr>
      <w:tc>
        <w:tcPr>
          <w:tcW w:w="9827" w:type="dxa"/>
          <w:vAlign w:val="center"/>
        </w:tcPr>
        <w:p w14:paraId="6035B43B" w14:textId="77777777" w:rsidR="00155462" w:rsidRPr="00913959" w:rsidRDefault="00155462" w:rsidP="00155462">
          <w:pPr>
            <w:rPr>
              <w:rFonts w:ascii="Wells Fargo Sans" w:hAnsi="Wells Fargo Sans"/>
              <w:b/>
              <w:szCs w:val="20"/>
            </w:rPr>
          </w:pPr>
          <w:r w:rsidRPr="00913959">
            <w:rPr>
              <w:rFonts w:ascii="Wells Fargo Sans" w:hAnsi="Wells Fargo Sans"/>
              <w:b/>
              <w:szCs w:val="20"/>
            </w:rPr>
            <w:t>Investment and Insurance Products: NOT FDIC Insured / NO Bank Guarantee / MAY Lose Value</w:t>
          </w:r>
        </w:p>
      </w:tc>
    </w:tr>
  </w:tbl>
  <w:p w14:paraId="2AC21CC3" w14:textId="77777777" w:rsidR="00862684" w:rsidRDefault="008626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6B676" w14:textId="77777777" w:rsidR="002521EB" w:rsidRDefault="002521EB" w:rsidP="000829E7">
    <w:pPr>
      <w:pStyle w:val="Header"/>
      <w:jc w:val="right"/>
    </w:pPr>
    <w:r>
      <w:t xml:space="preserve">                                                                                      </w:t>
    </w:r>
  </w:p>
  <w:p w14:paraId="7472D469" w14:textId="77777777" w:rsidR="002521EB" w:rsidRPr="003442B5" w:rsidRDefault="002521EB" w:rsidP="00DD2D3A">
    <w:pPr>
      <w:autoSpaceDE w:val="0"/>
      <w:autoSpaceDN w:val="0"/>
      <w:adjustRightInd w:val="0"/>
      <w:jc w:val="both"/>
      <w:rPr>
        <w:rFonts w:ascii="Times New Roman" w:hAnsi="Times New Roman" w:cs="Times New Roman"/>
        <w:sz w:val="16"/>
        <w:szCs w:val="14"/>
        <w:lang w:eastAsia="x-none"/>
      </w:rPr>
    </w:pPr>
    <w:bookmarkStart w:id="1" w:name="_Hlk136406650"/>
    <w:r w:rsidRPr="00935F4D">
      <w:rPr>
        <w:rFonts w:ascii="Times New Roman" w:hAnsi="Times New Roman" w:cs="Times New Roman"/>
        <w:sz w:val="16"/>
        <w:szCs w:val="14"/>
        <w:lang w:eastAsia="x-none"/>
      </w:rPr>
      <w:t xml:space="preserve">Wells Fargo Investment Institute, Inc. is a registered investment adviser and </w:t>
    </w:r>
    <w:proofErr w:type="gramStart"/>
    <w:r w:rsidRPr="00935F4D">
      <w:rPr>
        <w:rFonts w:ascii="Times New Roman" w:hAnsi="Times New Roman" w:cs="Times New Roman"/>
        <w:sz w:val="16"/>
        <w:szCs w:val="14"/>
        <w:lang w:eastAsia="x-none"/>
      </w:rPr>
      <w:t>wholly-owned</w:t>
    </w:r>
    <w:proofErr w:type="gramEnd"/>
    <w:r w:rsidRPr="00935F4D">
      <w:rPr>
        <w:rFonts w:ascii="Times New Roman" w:hAnsi="Times New Roman" w:cs="Times New Roman"/>
        <w:sz w:val="16"/>
        <w:szCs w:val="14"/>
        <w:lang w:eastAsia="x-none"/>
      </w:rPr>
      <w:t xml:space="preserve"> subsidiary of Wells Fargo Bank, N.A., a bank affiliate of Wells Fargo &amp; Company.</w:t>
    </w:r>
  </w:p>
  <w:p w14:paraId="744BB09C" w14:textId="0C5E58B7" w:rsidR="002521EB" w:rsidRPr="004F6B51" w:rsidRDefault="002521EB" w:rsidP="00DD2D3A">
    <w:pPr>
      <w:jc w:val="both"/>
      <w:rPr>
        <w:rFonts w:ascii="Times New Roman" w:hAnsi="Times New Roman" w:cs="Times New Roman"/>
        <w:sz w:val="28"/>
      </w:rPr>
    </w:pPr>
    <w:r w:rsidRPr="004F6B51">
      <w:rPr>
        <w:rFonts w:ascii="Times New Roman" w:hAnsi="Times New Roman" w:cs="Times New Roman"/>
        <w:sz w:val="16"/>
        <w:szCs w:val="14"/>
        <w:lang w:eastAsia="x-none"/>
      </w:rPr>
      <w:t xml:space="preserve">Wells Fargo Advisors is a trade name used by Wells Fargo Clearing Services, LLC, Member SIPC, a registered broker-dealer and non-bank affiliate of Wells Fargo &amp; Company. </w:t>
    </w:r>
    <w:r w:rsidRPr="004F6B51">
      <w:rPr>
        <w:rFonts w:ascii="Times New Roman" w:hAnsi="Times New Roman" w:cs="Times New Roman"/>
        <w:sz w:val="16"/>
        <w:szCs w:val="14"/>
        <w:lang w:val="x-none" w:eastAsia="x-none"/>
      </w:rPr>
      <w:t>©</w:t>
    </w:r>
    <w:r w:rsidRPr="004F6B51">
      <w:rPr>
        <w:rFonts w:ascii="Times New Roman" w:hAnsi="Times New Roman" w:cs="Times New Roman"/>
        <w:sz w:val="16"/>
        <w:szCs w:val="14"/>
        <w:lang w:eastAsia="x-none"/>
      </w:rPr>
      <w:t xml:space="preserve">2019 </w:t>
    </w:r>
    <w:r w:rsidRPr="004F6B51">
      <w:rPr>
        <w:rFonts w:ascii="Times New Roman" w:hAnsi="Times New Roman" w:cs="Times New Roman"/>
        <w:sz w:val="16"/>
        <w:szCs w:val="14"/>
        <w:lang w:val="x-none" w:eastAsia="x-none"/>
      </w:rPr>
      <w:t>Wells Fargo Clearing Services, LLC.</w:t>
    </w:r>
    <w:r w:rsidRPr="004F6B51">
      <w:rPr>
        <w:rFonts w:ascii="Times New Roman" w:hAnsi="Times New Roman" w:cs="Times New Roman"/>
        <w:sz w:val="16"/>
        <w:szCs w:val="14"/>
        <w:lang w:eastAsia="x-none"/>
      </w:rPr>
      <w:t xml:space="preserve"> </w:t>
    </w:r>
    <w:r w:rsidR="009908EC" w:rsidRPr="009908EC">
      <w:rPr>
        <w:rFonts w:ascii="Times New Roman" w:hAnsi="Times New Roman" w:cs="Times New Roman"/>
        <w:sz w:val="16"/>
        <w:szCs w:val="14"/>
        <w:lang w:val="x-none" w:eastAsia="x-none"/>
      </w:rPr>
      <w:t>PM-09252025-6502814.1.1</w:t>
    </w:r>
  </w:p>
  <w:bookmarkEnd w:id="1"/>
  <w:p w14:paraId="16C3433D" w14:textId="77777777" w:rsidR="002521EB" w:rsidRDefault="002521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0B428E" w14:textId="77777777" w:rsidR="00113870" w:rsidRDefault="00113870" w:rsidP="00CC380D">
      <w:r>
        <w:separator/>
      </w:r>
    </w:p>
  </w:footnote>
  <w:footnote w:type="continuationSeparator" w:id="0">
    <w:p w14:paraId="7ED1610E" w14:textId="77777777" w:rsidR="00113870" w:rsidRDefault="00113870" w:rsidP="00CC38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17598" w14:textId="73E6D434" w:rsidR="00CC380D" w:rsidRDefault="00AB4B1D" w:rsidP="00AB4B1D">
    <w:pPr>
      <w:pStyle w:val="Header"/>
    </w:pPr>
    <w:r>
      <w:tab/>
    </w:r>
    <w:r>
      <w:tab/>
    </w:r>
    <w:r w:rsidR="00AD7E1F">
      <w:rPr>
        <w:noProof/>
      </w:rPr>
      <w:drawing>
        <wp:inline distT="0" distB="0" distL="0" distR="0" wp14:anchorId="7967D1B6" wp14:editId="1EE53904">
          <wp:extent cx="1676400" cy="671728"/>
          <wp:effectExtent l="0" t="0" r="0" b="0"/>
          <wp:docPr id="11" name="Picture 1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92922" cy="678348"/>
                  </a:xfrm>
                  <a:prstGeom prst="rect">
                    <a:avLst/>
                  </a:prstGeom>
                </pic:spPr>
              </pic:pic>
            </a:graphicData>
          </a:graphic>
        </wp:inline>
      </w:drawing>
    </w:r>
    <w:r w:rsidR="00CC380D">
      <w:t xml:space="preserve">    </w:t>
    </w:r>
    <w:r w:rsidR="00093A54">
      <w:t xml:space="preserve">                                                                                </w:t>
    </w:r>
    <w:r w:rsidR="00CC380D">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A84F5" w14:textId="1FDADE81" w:rsidR="000829E7" w:rsidRDefault="00BF7DD2" w:rsidP="00BF7DD2">
    <w:pPr>
      <w:pStyle w:val="Header"/>
    </w:pPr>
    <w:r>
      <w:rPr>
        <w:noProof/>
      </w:rPr>
      <w:drawing>
        <wp:inline distT="0" distB="0" distL="0" distR="0" wp14:anchorId="321E22A4" wp14:editId="655C7277">
          <wp:extent cx="1508458" cy="804672"/>
          <wp:effectExtent l="0" t="0" r="0" b="0"/>
          <wp:docPr id="27" name="Picture 27" descr="A black and green rectangle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black and green rectangle with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08458" cy="804672"/>
                  </a:xfrm>
                  <a:prstGeom prst="rect">
                    <a:avLst/>
                  </a:prstGeom>
                </pic:spPr>
              </pic:pic>
            </a:graphicData>
          </a:graphic>
        </wp:inline>
      </w:drawing>
    </w:r>
    <w:r>
      <w:t xml:space="preserve">                                                                                       </w:t>
    </w:r>
    <w:r w:rsidR="00AD7E1F">
      <w:rPr>
        <w:noProof/>
      </w:rPr>
      <w:drawing>
        <wp:inline distT="0" distB="0" distL="0" distR="0" wp14:anchorId="6A709BD9" wp14:editId="5A1FF793">
          <wp:extent cx="1676400" cy="671728"/>
          <wp:effectExtent l="0" t="0" r="0" b="0"/>
          <wp:docPr id="7" name="Picture 7"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up of a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692922" cy="67834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9E0C0" w14:textId="4B226B92" w:rsidR="00CF63AD" w:rsidRDefault="00CF63AD" w:rsidP="00E47D23">
    <w:pPr>
      <w:pStyle w:val="Header"/>
      <w:jc w:val="right"/>
    </w:pPr>
    <w:r>
      <w:t xml:space="preserve">                                                                                       </w:t>
    </w:r>
    <w:r w:rsidR="00BF7DD2">
      <w:rPr>
        <w:noProof/>
      </w:rPr>
      <w:drawing>
        <wp:inline distT="0" distB="0" distL="0" distR="0" wp14:anchorId="028592FD" wp14:editId="5964AA4F">
          <wp:extent cx="1676400" cy="671728"/>
          <wp:effectExtent l="0" t="0" r="0" b="0"/>
          <wp:docPr id="28" name="Picture 28"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92922" cy="67834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199053C"/>
    <w:multiLevelType w:val="hybridMultilevel"/>
    <w:tmpl w:val="EBE41922"/>
    <w:lvl w:ilvl="0" w:tplc="8F760E54">
      <w:start w:val="1"/>
      <w:numFmt w:val="bullet"/>
      <w:lvlText w:val="•"/>
      <w:lvlJc w:val="left"/>
      <w:pPr>
        <w:tabs>
          <w:tab w:val="num" w:pos="720"/>
        </w:tabs>
        <w:ind w:left="720" w:hanging="360"/>
      </w:pPr>
      <w:rPr>
        <w:rFonts w:ascii="Arial" w:hAnsi="Arial" w:hint="default"/>
      </w:rPr>
    </w:lvl>
    <w:lvl w:ilvl="1" w:tplc="24785B42" w:tentative="1">
      <w:start w:val="1"/>
      <w:numFmt w:val="bullet"/>
      <w:lvlText w:val="•"/>
      <w:lvlJc w:val="left"/>
      <w:pPr>
        <w:tabs>
          <w:tab w:val="num" w:pos="1440"/>
        </w:tabs>
        <w:ind w:left="1440" w:hanging="360"/>
      </w:pPr>
      <w:rPr>
        <w:rFonts w:ascii="Arial" w:hAnsi="Arial" w:hint="default"/>
      </w:rPr>
    </w:lvl>
    <w:lvl w:ilvl="2" w:tplc="4C9EA15A" w:tentative="1">
      <w:start w:val="1"/>
      <w:numFmt w:val="bullet"/>
      <w:lvlText w:val="•"/>
      <w:lvlJc w:val="left"/>
      <w:pPr>
        <w:tabs>
          <w:tab w:val="num" w:pos="2160"/>
        </w:tabs>
        <w:ind w:left="2160" w:hanging="360"/>
      </w:pPr>
      <w:rPr>
        <w:rFonts w:ascii="Arial" w:hAnsi="Arial" w:hint="default"/>
      </w:rPr>
    </w:lvl>
    <w:lvl w:ilvl="3" w:tplc="6D1064A0" w:tentative="1">
      <w:start w:val="1"/>
      <w:numFmt w:val="bullet"/>
      <w:lvlText w:val="•"/>
      <w:lvlJc w:val="left"/>
      <w:pPr>
        <w:tabs>
          <w:tab w:val="num" w:pos="2880"/>
        </w:tabs>
        <w:ind w:left="2880" w:hanging="360"/>
      </w:pPr>
      <w:rPr>
        <w:rFonts w:ascii="Arial" w:hAnsi="Arial" w:hint="default"/>
      </w:rPr>
    </w:lvl>
    <w:lvl w:ilvl="4" w:tplc="AD366CB8" w:tentative="1">
      <w:start w:val="1"/>
      <w:numFmt w:val="bullet"/>
      <w:lvlText w:val="•"/>
      <w:lvlJc w:val="left"/>
      <w:pPr>
        <w:tabs>
          <w:tab w:val="num" w:pos="3600"/>
        </w:tabs>
        <w:ind w:left="3600" w:hanging="360"/>
      </w:pPr>
      <w:rPr>
        <w:rFonts w:ascii="Arial" w:hAnsi="Arial" w:hint="default"/>
      </w:rPr>
    </w:lvl>
    <w:lvl w:ilvl="5" w:tplc="28C0AB4E" w:tentative="1">
      <w:start w:val="1"/>
      <w:numFmt w:val="bullet"/>
      <w:lvlText w:val="•"/>
      <w:lvlJc w:val="left"/>
      <w:pPr>
        <w:tabs>
          <w:tab w:val="num" w:pos="4320"/>
        </w:tabs>
        <w:ind w:left="4320" w:hanging="360"/>
      </w:pPr>
      <w:rPr>
        <w:rFonts w:ascii="Arial" w:hAnsi="Arial" w:hint="default"/>
      </w:rPr>
    </w:lvl>
    <w:lvl w:ilvl="6" w:tplc="6478B1B4" w:tentative="1">
      <w:start w:val="1"/>
      <w:numFmt w:val="bullet"/>
      <w:lvlText w:val="•"/>
      <w:lvlJc w:val="left"/>
      <w:pPr>
        <w:tabs>
          <w:tab w:val="num" w:pos="5040"/>
        </w:tabs>
        <w:ind w:left="5040" w:hanging="360"/>
      </w:pPr>
      <w:rPr>
        <w:rFonts w:ascii="Arial" w:hAnsi="Arial" w:hint="default"/>
      </w:rPr>
    </w:lvl>
    <w:lvl w:ilvl="7" w:tplc="D2162E58" w:tentative="1">
      <w:start w:val="1"/>
      <w:numFmt w:val="bullet"/>
      <w:lvlText w:val="•"/>
      <w:lvlJc w:val="left"/>
      <w:pPr>
        <w:tabs>
          <w:tab w:val="num" w:pos="5760"/>
        </w:tabs>
        <w:ind w:left="5760" w:hanging="360"/>
      </w:pPr>
      <w:rPr>
        <w:rFonts w:ascii="Arial" w:hAnsi="Arial" w:hint="default"/>
      </w:rPr>
    </w:lvl>
    <w:lvl w:ilvl="8" w:tplc="4DC63B2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7AA30696"/>
    <w:multiLevelType w:val="hybridMultilevel"/>
    <w:tmpl w:val="AF641706"/>
    <w:lvl w:ilvl="0" w:tplc="9378FD14">
      <w:start w:val="1"/>
      <w:numFmt w:val="bullet"/>
      <w:lvlText w:val="•"/>
      <w:lvlJc w:val="left"/>
      <w:pPr>
        <w:tabs>
          <w:tab w:val="num" w:pos="720"/>
        </w:tabs>
        <w:ind w:left="720" w:hanging="360"/>
      </w:pPr>
      <w:rPr>
        <w:rFonts w:ascii="Arial" w:hAnsi="Arial" w:hint="default"/>
      </w:rPr>
    </w:lvl>
    <w:lvl w:ilvl="1" w:tplc="A1D26262" w:tentative="1">
      <w:start w:val="1"/>
      <w:numFmt w:val="bullet"/>
      <w:lvlText w:val="•"/>
      <w:lvlJc w:val="left"/>
      <w:pPr>
        <w:tabs>
          <w:tab w:val="num" w:pos="1440"/>
        </w:tabs>
        <w:ind w:left="1440" w:hanging="360"/>
      </w:pPr>
      <w:rPr>
        <w:rFonts w:ascii="Arial" w:hAnsi="Arial" w:hint="default"/>
      </w:rPr>
    </w:lvl>
    <w:lvl w:ilvl="2" w:tplc="E1CE283C" w:tentative="1">
      <w:start w:val="1"/>
      <w:numFmt w:val="bullet"/>
      <w:lvlText w:val="•"/>
      <w:lvlJc w:val="left"/>
      <w:pPr>
        <w:tabs>
          <w:tab w:val="num" w:pos="2160"/>
        </w:tabs>
        <w:ind w:left="2160" w:hanging="360"/>
      </w:pPr>
      <w:rPr>
        <w:rFonts w:ascii="Arial" w:hAnsi="Arial" w:hint="default"/>
      </w:rPr>
    </w:lvl>
    <w:lvl w:ilvl="3" w:tplc="06925F26" w:tentative="1">
      <w:start w:val="1"/>
      <w:numFmt w:val="bullet"/>
      <w:lvlText w:val="•"/>
      <w:lvlJc w:val="left"/>
      <w:pPr>
        <w:tabs>
          <w:tab w:val="num" w:pos="2880"/>
        </w:tabs>
        <w:ind w:left="2880" w:hanging="360"/>
      </w:pPr>
      <w:rPr>
        <w:rFonts w:ascii="Arial" w:hAnsi="Arial" w:hint="default"/>
      </w:rPr>
    </w:lvl>
    <w:lvl w:ilvl="4" w:tplc="C81207D4" w:tentative="1">
      <w:start w:val="1"/>
      <w:numFmt w:val="bullet"/>
      <w:lvlText w:val="•"/>
      <w:lvlJc w:val="left"/>
      <w:pPr>
        <w:tabs>
          <w:tab w:val="num" w:pos="3600"/>
        </w:tabs>
        <w:ind w:left="3600" w:hanging="360"/>
      </w:pPr>
      <w:rPr>
        <w:rFonts w:ascii="Arial" w:hAnsi="Arial" w:hint="default"/>
      </w:rPr>
    </w:lvl>
    <w:lvl w:ilvl="5" w:tplc="AE92A6C2" w:tentative="1">
      <w:start w:val="1"/>
      <w:numFmt w:val="bullet"/>
      <w:lvlText w:val="•"/>
      <w:lvlJc w:val="left"/>
      <w:pPr>
        <w:tabs>
          <w:tab w:val="num" w:pos="4320"/>
        </w:tabs>
        <w:ind w:left="4320" w:hanging="360"/>
      </w:pPr>
      <w:rPr>
        <w:rFonts w:ascii="Arial" w:hAnsi="Arial" w:hint="default"/>
      </w:rPr>
    </w:lvl>
    <w:lvl w:ilvl="6" w:tplc="F7DA11DA" w:tentative="1">
      <w:start w:val="1"/>
      <w:numFmt w:val="bullet"/>
      <w:lvlText w:val="•"/>
      <w:lvlJc w:val="left"/>
      <w:pPr>
        <w:tabs>
          <w:tab w:val="num" w:pos="5040"/>
        </w:tabs>
        <w:ind w:left="5040" w:hanging="360"/>
      </w:pPr>
      <w:rPr>
        <w:rFonts w:ascii="Arial" w:hAnsi="Arial" w:hint="default"/>
      </w:rPr>
    </w:lvl>
    <w:lvl w:ilvl="7" w:tplc="1F9C2084" w:tentative="1">
      <w:start w:val="1"/>
      <w:numFmt w:val="bullet"/>
      <w:lvlText w:val="•"/>
      <w:lvlJc w:val="left"/>
      <w:pPr>
        <w:tabs>
          <w:tab w:val="num" w:pos="5760"/>
        </w:tabs>
        <w:ind w:left="5760" w:hanging="360"/>
      </w:pPr>
      <w:rPr>
        <w:rFonts w:ascii="Arial" w:hAnsi="Arial" w:hint="default"/>
      </w:rPr>
    </w:lvl>
    <w:lvl w:ilvl="8" w:tplc="C1CAD592" w:tentative="1">
      <w:start w:val="1"/>
      <w:numFmt w:val="bullet"/>
      <w:lvlText w:val="•"/>
      <w:lvlJc w:val="left"/>
      <w:pPr>
        <w:tabs>
          <w:tab w:val="num" w:pos="6480"/>
        </w:tabs>
        <w:ind w:left="6480" w:hanging="360"/>
      </w:pPr>
      <w:rPr>
        <w:rFonts w:ascii="Arial" w:hAnsi="Arial" w:hint="default"/>
      </w:rPr>
    </w:lvl>
  </w:abstractNum>
  <w:num w:numId="1" w16cid:durableId="86780351">
    <w:abstractNumId w:val="1"/>
  </w:num>
  <w:num w:numId="2" w16cid:durableId="16487824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4FB0"/>
    <w:rsid w:val="000039CF"/>
    <w:rsid w:val="00003B85"/>
    <w:rsid w:val="0000448D"/>
    <w:rsid w:val="00004997"/>
    <w:rsid w:val="00005622"/>
    <w:rsid w:val="00007770"/>
    <w:rsid w:val="00012CA5"/>
    <w:rsid w:val="000157FF"/>
    <w:rsid w:val="00016414"/>
    <w:rsid w:val="000215D7"/>
    <w:rsid w:val="000234B5"/>
    <w:rsid w:val="00024DEC"/>
    <w:rsid w:val="0002564D"/>
    <w:rsid w:val="00026A59"/>
    <w:rsid w:val="00027399"/>
    <w:rsid w:val="00027693"/>
    <w:rsid w:val="0003052B"/>
    <w:rsid w:val="000309D0"/>
    <w:rsid w:val="00030CD2"/>
    <w:rsid w:val="0003101F"/>
    <w:rsid w:val="00035B7C"/>
    <w:rsid w:val="000404DF"/>
    <w:rsid w:val="00040EE5"/>
    <w:rsid w:val="0004405F"/>
    <w:rsid w:val="00047E65"/>
    <w:rsid w:val="000514CF"/>
    <w:rsid w:val="00056989"/>
    <w:rsid w:val="00057BEC"/>
    <w:rsid w:val="00057D33"/>
    <w:rsid w:val="00061A71"/>
    <w:rsid w:val="000670B5"/>
    <w:rsid w:val="000706AF"/>
    <w:rsid w:val="0007170F"/>
    <w:rsid w:val="00077E68"/>
    <w:rsid w:val="0008210D"/>
    <w:rsid w:val="000829E7"/>
    <w:rsid w:val="00082BCC"/>
    <w:rsid w:val="0009067A"/>
    <w:rsid w:val="000930FD"/>
    <w:rsid w:val="00093A54"/>
    <w:rsid w:val="0009606E"/>
    <w:rsid w:val="000A0ACD"/>
    <w:rsid w:val="000A4ADC"/>
    <w:rsid w:val="000A5DB1"/>
    <w:rsid w:val="000A75BE"/>
    <w:rsid w:val="000B1427"/>
    <w:rsid w:val="000B3499"/>
    <w:rsid w:val="000C08A9"/>
    <w:rsid w:val="000C1339"/>
    <w:rsid w:val="000C18A0"/>
    <w:rsid w:val="000D09FB"/>
    <w:rsid w:val="000D6FBA"/>
    <w:rsid w:val="000E2366"/>
    <w:rsid w:val="000E3103"/>
    <w:rsid w:val="000E6C21"/>
    <w:rsid w:val="000F2EF6"/>
    <w:rsid w:val="000F4E84"/>
    <w:rsid w:val="000F551E"/>
    <w:rsid w:val="000F5F18"/>
    <w:rsid w:val="000F6C21"/>
    <w:rsid w:val="000F75F6"/>
    <w:rsid w:val="000F7804"/>
    <w:rsid w:val="001002FD"/>
    <w:rsid w:val="00100C05"/>
    <w:rsid w:val="00102033"/>
    <w:rsid w:val="00107A95"/>
    <w:rsid w:val="00110758"/>
    <w:rsid w:val="00111A95"/>
    <w:rsid w:val="00111BE2"/>
    <w:rsid w:val="00111D32"/>
    <w:rsid w:val="00112ED2"/>
    <w:rsid w:val="00113870"/>
    <w:rsid w:val="001143D1"/>
    <w:rsid w:val="00117D8E"/>
    <w:rsid w:val="00120253"/>
    <w:rsid w:val="0012196B"/>
    <w:rsid w:val="00122FD7"/>
    <w:rsid w:val="001239FF"/>
    <w:rsid w:val="00126572"/>
    <w:rsid w:val="00126990"/>
    <w:rsid w:val="001323F6"/>
    <w:rsid w:val="00135AE3"/>
    <w:rsid w:val="001373A6"/>
    <w:rsid w:val="001378A2"/>
    <w:rsid w:val="00141AE7"/>
    <w:rsid w:val="00142208"/>
    <w:rsid w:val="00147C3E"/>
    <w:rsid w:val="00150609"/>
    <w:rsid w:val="00150708"/>
    <w:rsid w:val="00150C80"/>
    <w:rsid w:val="00153522"/>
    <w:rsid w:val="001538B1"/>
    <w:rsid w:val="00155462"/>
    <w:rsid w:val="001561C0"/>
    <w:rsid w:val="00156DFC"/>
    <w:rsid w:val="001613D3"/>
    <w:rsid w:val="00163ABF"/>
    <w:rsid w:val="00163F3C"/>
    <w:rsid w:val="00174076"/>
    <w:rsid w:val="00174AFE"/>
    <w:rsid w:val="00176391"/>
    <w:rsid w:val="00182103"/>
    <w:rsid w:val="00184002"/>
    <w:rsid w:val="001844E8"/>
    <w:rsid w:val="001902E8"/>
    <w:rsid w:val="00190FD6"/>
    <w:rsid w:val="00191961"/>
    <w:rsid w:val="001933A8"/>
    <w:rsid w:val="00194794"/>
    <w:rsid w:val="00194A62"/>
    <w:rsid w:val="001951C3"/>
    <w:rsid w:val="00196A65"/>
    <w:rsid w:val="00196C4B"/>
    <w:rsid w:val="001A6D16"/>
    <w:rsid w:val="001B32DA"/>
    <w:rsid w:val="001B7B91"/>
    <w:rsid w:val="001C06C2"/>
    <w:rsid w:val="001C6789"/>
    <w:rsid w:val="001C784F"/>
    <w:rsid w:val="001D1C26"/>
    <w:rsid w:val="001D61D8"/>
    <w:rsid w:val="001D6949"/>
    <w:rsid w:val="001D7416"/>
    <w:rsid w:val="001E142E"/>
    <w:rsid w:val="001E5CD4"/>
    <w:rsid w:val="002006DA"/>
    <w:rsid w:val="0020106F"/>
    <w:rsid w:val="00203549"/>
    <w:rsid w:val="002059AE"/>
    <w:rsid w:val="00207890"/>
    <w:rsid w:val="00214739"/>
    <w:rsid w:val="00217254"/>
    <w:rsid w:val="002178F8"/>
    <w:rsid w:val="00222CAA"/>
    <w:rsid w:val="0022671E"/>
    <w:rsid w:val="0023111D"/>
    <w:rsid w:val="0023171A"/>
    <w:rsid w:val="00235F74"/>
    <w:rsid w:val="00245E7F"/>
    <w:rsid w:val="00251315"/>
    <w:rsid w:val="002521EB"/>
    <w:rsid w:val="00254EC5"/>
    <w:rsid w:val="002565EE"/>
    <w:rsid w:val="002570AE"/>
    <w:rsid w:val="002621BF"/>
    <w:rsid w:val="002627C2"/>
    <w:rsid w:val="00264F3A"/>
    <w:rsid w:val="00267BCB"/>
    <w:rsid w:val="002717C5"/>
    <w:rsid w:val="002744D8"/>
    <w:rsid w:val="00275D83"/>
    <w:rsid w:val="0027799B"/>
    <w:rsid w:val="00280A08"/>
    <w:rsid w:val="00281FD9"/>
    <w:rsid w:val="002A003E"/>
    <w:rsid w:val="002B2449"/>
    <w:rsid w:val="002B2BBC"/>
    <w:rsid w:val="002B5168"/>
    <w:rsid w:val="002B520F"/>
    <w:rsid w:val="002B5D5B"/>
    <w:rsid w:val="002B6A8D"/>
    <w:rsid w:val="002B6ACA"/>
    <w:rsid w:val="002C399F"/>
    <w:rsid w:val="002C512C"/>
    <w:rsid w:val="002C6B56"/>
    <w:rsid w:val="002D58F8"/>
    <w:rsid w:val="002D704F"/>
    <w:rsid w:val="002D7C81"/>
    <w:rsid w:val="002E0709"/>
    <w:rsid w:val="002E115C"/>
    <w:rsid w:val="002F0C04"/>
    <w:rsid w:val="002F2704"/>
    <w:rsid w:val="002F2C3C"/>
    <w:rsid w:val="002F2E59"/>
    <w:rsid w:val="002F2FEC"/>
    <w:rsid w:val="002F5EBD"/>
    <w:rsid w:val="002F6F7C"/>
    <w:rsid w:val="00300A9C"/>
    <w:rsid w:val="003014C9"/>
    <w:rsid w:val="0030219A"/>
    <w:rsid w:val="003066E3"/>
    <w:rsid w:val="00307E6B"/>
    <w:rsid w:val="00317B17"/>
    <w:rsid w:val="00320974"/>
    <w:rsid w:val="00320F65"/>
    <w:rsid w:val="00326D75"/>
    <w:rsid w:val="00327237"/>
    <w:rsid w:val="003352F0"/>
    <w:rsid w:val="00335BAA"/>
    <w:rsid w:val="003402FA"/>
    <w:rsid w:val="00340CE2"/>
    <w:rsid w:val="00342648"/>
    <w:rsid w:val="003442B5"/>
    <w:rsid w:val="00344900"/>
    <w:rsid w:val="00350260"/>
    <w:rsid w:val="00352773"/>
    <w:rsid w:val="0035303A"/>
    <w:rsid w:val="00362FC0"/>
    <w:rsid w:val="00363188"/>
    <w:rsid w:val="003638DD"/>
    <w:rsid w:val="003718C2"/>
    <w:rsid w:val="0037299C"/>
    <w:rsid w:val="00375C73"/>
    <w:rsid w:val="003765AD"/>
    <w:rsid w:val="003803B5"/>
    <w:rsid w:val="003818D4"/>
    <w:rsid w:val="00390887"/>
    <w:rsid w:val="00394975"/>
    <w:rsid w:val="00394B1F"/>
    <w:rsid w:val="00395E91"/>
    <w:rsid w:val="00397ACD"/>
    <w:rsid w:val="003A0519"/>
    <w:rsid w:val="003A2118"/>
    <w:rsid w:val="003A6149"/>
    <w:rsid w:val="003A6D43"/>
    <w:rsid w:val="003B6608"/>
    <w:rsid w:val="003B6EFC"/>
    <w:rsid w:val="003B726B"/>
    <w:rsid w:val="003D3648"/>
    <w:rsid w:val="003D48B8"/>
    <w:rsid w:val="003D5845"/>
    <w:rsid w:val="003D6C74"/>
    <w:rsid w:val="003E347A"/>
    <w:rsid w:val="003E6610"/>
    <w:rsid w:val="003F0423"/>
    <w:rsid w:val="003F3DF1"/>
    <w:rsid w:val="003F5E65"/>
    <w:rsid w:val="00410017"/>
    <w:rsid w:val="00411779"/>
    <w:rsid w:val="0041451C"/>
    <w:rsid w:val="00420E4B"/>
    <w:rsid w:val="0043039A"/>
    <w:rsid w:val="0043196B"/>
    <w:rsid w:val="00431FF6"/>
    <w:rsid w:val="00435168"/>
    <w:rsid w:val="004354FA"/>
    <w:rsid w:val="00437BF8"/>
    <w:rsid w:val="004453AB"/>
    <w:rsid w:val="0044551B"/>
    <w:rsid w:val="004464B0"/>
    <w:rsid w:val="00446823"/>
    <w:rsid w:val="004471AA"/>
    <w:rsid w:val="00451378"/>
    <w:rsid w:val="0045253B"/>
    <w:rsid w:val="00453387"/>
    <w:rsid w:val="004546D8"/>
    <w:rsid w:val="0045559F"/>
    <w:rsid w:val="004578FA"/>
    <w:rsid w:val="00467070"/>
    <w:rsid w:val="00471245"/>
    <w:rsid w:val="004740C5"/>
    <w:rsid w:val="004830AE"/>
    <w:rsid w:val="00486A63"/>
    <w:rsid w:val="00487FBF"/>
    <w:rsid w:val="004A1520"/>
    <w:rsid w:val="004A24DD"/>
    <w:rsid w:val="004A50EE"/>
    <w:rsid w:val="004A59CF"/>
    <w:rsid w:val="004A5BD5"/>
    <w:rsid w:val="004A672D"/>
    <w:rsid w:val="004B02A2"/>
    <w:rsid w:val="004B0FD3"/>
    <w:rsid w:val="004B6DAD"/>
    <w:rsid w:val="004C451F"/>
    <w:rsid w:val="004C5499"/>
    <w:rsid w:val="004C5502"/>
    <w:rsid w:val="004C6B16"/>
    <w:rsid w:val="004C7EE4"/>
    <w:rsid w:val="004D0729"/>
    <w:rsid w:val="004D3298"/>
    <w:rsid w:val="004D5E9C"/>
    <w:rsid w:val="004D70CA"/>
    <w:rsid w:val="004E21D5"/>
    <w:rsid w:val="004E2A9A"/>
    <w:rsid w:val="004E2F99"/>
    <w:rsid w:val="004E3E0A"/>
    <w:rsid w:val="004E47B2"/>
    <w:rsid w:val="004E613D"/>
    <w:rsid w:val="004E7923"/>
    <w:rsid w:val="004F15B0"/>
    <w:rsid w:val="004F1B23"/>
    <w:rsid w:val="004F6B51"/>
    <w:rsid w:val="004F7327"/>
    <w:rsid w:val="004F7767"/>
    <w:rsid w:val="00507E38"/>
    <w:rsid w:val="00511544"/>
    <w:rsid w:val="00524D59"/>
    <w:rsid w:val="00524D6E"/>
    <w:rsid w:val="005323B7"/>
    <w:rsid w:val="00534756"/>
    <w:rsid w:val="00534947"/>
    <w:rsid w:val="00534BBA"/>
    <w:rsid w:val="005415FB"/>
    <w:rsid w:val="0054227B"/>
    <w:rsid w:val="00543E13"/>
    <w:rsid w:val="0054530F"/>
    <w:rsid w:val="00550834"/>
    <w:rsid w:val="00550F97"/>
    <w:rsid w:val="0056180C"/>
    <w:rsid w:val="00563D66"/>
    <w:rsid w:val="00564F93"/>
    <w:rsid w:val="00571DEB"/>
    <w:rsid w:val="0057220C"/>
    <w:rsid w:val="00574855"/>
    <w:rsid w:val="005755D2"/>
    <w:rsid w:val="0057664E"/>
    <w:rsid w:val="00590B70"/>
    <w:rsid w:val="00592E32"/>
    <w:rsid w:val="005934EC"/>
    <w:rsid w:val="005946FD"/>
    <w:rsid w:val="005958C2"/>
    <w:rsid w:val="005A2064"/>
    <w:rsid w:val="005A33DD"/>
    <w:rsid w:val="005A4BE6"/>
    <w:rsid w:val="005A6EDC"/>
    <w:rsid w:val="005B181F"/>
    <w:rsid w:val="005B28AF"/>
    <w:rsid w:val="005B7F2C"/>
    <w:rsid w:val="005C082D"/>
    <w:rsid w:val="005C24A2"/>
    <w:rsid w:val="005C3104"/>
    <w:rsid w:val="005C3215"/>
    <w:rsid w:val="005D06FA"/>
    <w:rsid w:val="005D757E"/>
    <w:rsid w:val="005E3951"/>
    <w:rsid w:val="005F1FCE"/>
    <w:rsid w:val="005F4CBC"/>
    <w:rsid w:val="005F4CEB"/>
    <w:rsid w:val="005F595C"/>
    <w:rsid w:val="005F7F23"/>
    <w:rsid w:val="0060212E"/>
    <w:rsid w:val="00604D84"/>
    <w:rsid w:val="006116F4"/>
    <w:rsid w:val="00613D79"/>
    <w:rsid w:val="00614945"/>
    <w:rsid w:val="00616295"/>
    <w:rsid w:val="00624828"/>
    <w:rsid w:val="00627AEF"/>
    <w:rsid w:val="006313B7"/>
    <w:rsid w:val="006316EC"/>
    <w:rsid w:val="006356B9"/>
    <w:rsid w:val="00635CD6"/>
    <w:rsid w:val="00636560"/>
    <w:rsid w:val="00636EBA"/>
    <w:rsid w:val="00642172"/>
    <w:rsid w:val="00654235"/>
    <w:rsid w:val="006622DB"/>
    <w:rsid w:val="006631E0"/>
    <w:rsid w:val="0066413A"/>
    <w:rsid w:val="00664613"/>
    <w:rsid w:val="00666788"/>
    <w:rsid w:val="00670412"/>
    <w:rsid w:val="0067151B"/>
    <w:rsid w:val="006762C4"/>
    <w:rsid w:val="00676B53"/>
    <w:rsid w:val="00681C5E"/>
    <w:rsid w:val="00682119"/>
    <w:rsid w:val="006822A8"/>
    <w:rsid w:val="006830F1"/>
    <w:rsid w:val="00684EFC"/>
    <w:rsid w:val="00684F4A"/>
    <w:rsid w:val="00695F62"/>
    <w:rsid w:val="00696039"/>
    <w:rsid w:val="00697754"/>
    <w:rsid w:val="006A202F"/>
    <w:rsid w:val="006B00DC"/>
    <w:rsid w:val="006B196D"/>
    <w:rsid w:val="006B7EB2"/>
    <w:rsid w:val="006C149E"/>
    <w:rsid w:val="006C1680"/>
    <w:rsid w:val="006C2280"/>
    <w:rsid w:val="006D21FA"/>
    <w:rsid w:val="006D6751"/>
    <w:rsid w:val="006D7556"/>
    <w:rsid w:val="006E350C"/>
    <w:rsid w:val="006E3FE8"/>
    <w:rsid w:val="006F66E7"/>
    <w:rsid w:val="006F71DE"/>
    <w:rsid w:val="007020E3"/>
    <w:rsid w:val="00707BAC"/>
    <w:rsid w:val="00720F36"/>
    <w:rsid w:val="007212EB"/>
    <w:rsid w:val="00724529"/>
    <w:rsid w:val="007315AB"/>
    <w:rsid w:val="007322E9"/>
    <w:rsid w:val="00732DD8"/>
    <w:rsid w:val="00740D12"/>
    <w:rsid w:val="00741060"/>
    <w:rsid w:val="007419A4"/>
    <w:rsid w:val="0074245F"/>
    <w:rsid w:val="007514D1"/>
    <w:rsid w:val="007649A6"/>
    <w:rsid w:val="007712EB"/>
    <w:rsid w:val="0077193B"/>
    <w:rsid w:val="00773EEB"/>
    <w:rsid w:val="007751B6"/>
    <w:rsid w:val="007811C7"/>
    <w:rsid w:val="00784FB0"/>
    <w:rsid w:val="0078773F"/>
    <w:rsid w:val="0079018B"/>
    <w:rsid w:val="00791822"/>
    <w:rsid w:val="00791BAE"/>
    <w:rsid w:val="00792D0D"/>
    <w:rsid w:val="0079388D"/>
    <w:rsid w:val="00795706"/>
    <w:rsid w:val="00796292"/>
    <w:rsid w:val="007A1F43"/>
    <w:rsid w:val="007A27CD"/>
    <w:rsid w:val="007B0D20"/>
    <w:rsid w:val="007B613D"/>
    <w:rsid w:val="007B7B38"/>
    <w:rsid w:val="007B7F53"/>
    <w:rsid w:val="007C01C6"/>
    <w:rsid w:val="007C14A0"/>
    <w:rsid w:val="007C236C"/>
    <w:rsid w:val="007C37BD"/>
    <w:rsid w:val="007C5E5C"/>
    <w:rsid w:val="007C6F3F"/>
    <w:rsid w:val="007D0ADF"/>
    <w:rsid w:val="007D224B"/>
    <w:rsid w:val="007D7B84"/>
    <w:rsid w:val="007F37CF"/>
    <w:rsid w:val="007F68C3"/>
    <w:rsid w:val="007F710C"/>
    <w:rsid w:val="0080377C"/>
    <w:rsid w:val="00804BA1"/>
    <w:rsid w:val="00804BB5"/>
    <w:rsid w:val="00806D54"/>
    <w:rsid w:val="008073B1"/>
    <w:rsid w:val="008122E8"/>
    <w:rsid w:val="0082046E"/>
    <w:rsid w:val="00822DC3"/>
    <w:rsid w:val="00827D65"/>
    <w:rsid w:val="008309B4"/>
    <w:rsid w:val="00831738"/>
    <w:rsid w:val="008341BA"/>
    <w:rsid w:val="00834535"/>
    <w:rsid w:val="008376EF"/>
    <w:rsid w:val="00845D78"/>
    <w:rsid w:val="00847642"/>
    <w:rsid w:val="00850926"/>
    <w:rsid w:val="00853337"/>
    <w:rsid w:val="0085391A"/>
    <w:rsid w:val="00853B28"/>
    <w:rsid w:val="00855298"/>
    <w:rsid w:val="00855FCA"/>
    <w:rsid w:val="008571FE"/>
    <w:rsid w:val="00862684"/>
    <w:rsid w:val="00862FF7"/>
    <w:rsid w:val="0086662B"/>
    <w:rsid w:val="00874D85"/>
    <w:rsid w:val="00886A7A"/>
    <w:rsid w:val="00892C6B"/>
    <w:rsid w:val="00896438"/>
    <w:rsid w:val="008A2D04"/>
    <w:rsid w:val="008A4044"/>
    <w:rsid w:val="008B33E3"/>
    <w:rsid w:val="008B3536"/>
    <w:rsid w:val="008B6154"/>
    <w:rsid w:val="008B6B85"/>
    <w:rsid w:val="008C27BE"/>
    <w:rsid w:val="008C3799"/>
    <w:rsid w:val="008C6326"/>
    <w:rsid w:val="008C68AE"/>
    <w:rsid w:val="008D27A2"/>
    <w:rsid w:val="008D36AE"/>
    <w:rsid w:val="008D5DE3"/>
    <w:rsid w:val="008E16B4"/>
    <w:rsid w:val="008E2F8B"/>
    <w:rsid w:val="008E34D2"/>
    <w:rsid w:val="008E7A24"/>
    <w:rsid w:val="008F09F5"/>
    <w:rsid w:val="008F305D"/>
    <w:rsid w:val="008F41D1"/>
    <w:rsid w:val="008F5E8E"/>
    <w:rsid w:val="009116A1"/>
    <w:rsid w:val="009131C3"/>
    <w:rsid w:val="00913959"/>
    <w:rsid w:val="00914F74"/>
    <w:rsid w:val="009206C2"/>
    <w:rsid w:val="009229BD"/>
    <w:rsid w:val="00924922"/>
    <w:rsid w:val="00930E27"/>
    <w:rsid w:val="00930F11"/>
    <w:rsid w:val="00932DEE"/>
    <w:rsid w:val="00933778"/>
    <w:rsid w:val="00935F4D"/>
    <w:rsid w:val="00936F63"/>
    <w:rsid w:val="009413EF"/>
    <w:rsid w:val="0094748F"/>
    <w:rsid w:val="00952E3C"/>
    <w:rsid w:val="00970B72"/>
    <w:rsid w:val="00970DF6"/>
    <w:rsid w:val="00971206"/>
    <w:rsid w:val="00971F0B"/>
    <w:rsid w:val="00972C09"/>
    <w:rsid w:val="009763FB"/>
    <w:rsid w:val="00977B42"/>
    <w:rsid w:val="00977DBE"/>
    <w:rsid w:val="00986D46"/>
    <w:rsid w:val="00987833"/>
    <w:rsid w:val="009908EC"/>
    <w:rsid w:val="00991485"/>
    <w:rsid w:val="0099203B"/>
    <w:rsid w:val="00992297"/>
    <w:rsid w:val="00993F56"/>
    <w:rsid w:val="0099596E"/>
    <w:rsid w:val="009A20E4"/>
    <w:rsid w:val="009A3346"/>
    <w:rsid w:val="009A422E"/>
    <w:rsid w:val="009A4A04"/>
    <w:rsid w:val="009A6F69"/>
    <w:rsid w:val="009B7E15"/>
    <w:rsid w:val="009C0E79"/>
    <w:rsid w:val="009C1994"/>
    <w:rsid w:val="009C3106"/>
    <w:rsid w:val="009C3292"/>
    <w:rsid w:val="009C410C"/>
    <w:rsid w:val="009C4A43"/>
    <w:rsid w:val="009C7867"/>
    <w:rsid w:val="009C7C1E"/>
    <w:rsid w:val="009D1515"/>
    <w:rsid w:val="009D19A1"/>
    <w:rsid w:val="009D35C3"/>
    <w:rsid w:val="009E0B56"/>
    <w:rsid w:val="009E3AA0"/>
    <w:rsid w:val="009E4176"/>
    <w:rsid w:val="009E48A2"/>
    <w:rsid w:val="009E6376"/>
    <w:rsid w:val="009E6A8E"/>
    <w:rsid w:val="009F3621"/>
    <w:rsid w:val="009F59EF"/>
    <w:rsid w:val="009F6A32"/>
    <w:rsid w:val="00A03C73"/>
    <w:rsid w:val="00A055A9"/>
    <w:rsid w:val="00A069E5"/>
    <w:rsid w:val="00A11928"/>
    <w:rsid w:val="00A13936"/>
    <w:rsid w:val="00A15416"/>
    <w:rsid w:val="00A254B1"/>
    <w:rsid w:val="00A277B9"/>
    <w:rsid w:val="00A27DBB"/>
    <w:rsid w:val="00A343F2"/>
    <w:rsid w:val="00A357C8"/>
    <w:rsid w:val="00A450F3"/>
    <w:rsid w:val="00A47853"/>
    <w:rsid w:val="00A478A8"/>
    <w:rsid w:val="00A55527"/>
    <w:rsid w:val="00A71F72"/>
    <w:rsid w:val="00A769BD"/>
    <w:rsid w:val="00A77A15"/>
    <w:rsid w:val="00A82B45"/>
    <w:rsid w:val="00A85D60"/>
    <w:rsid w:val="00A9156A"/>
    <w:rsid w:val="00A915A4"/>
    <w:rsid w:val="00A91A06"/>
    <w:rsid w:val="00A94749"/>
    <w:rsid w:val="00A94B31"/>
    <w:rsid w:val="00A96984"/>
    <w:rsid w:val="00A97A39"/>
    <w:rsid w:val="00AA4652"/>
    <w:rsid w:val="00AB3181"/>
    <w:rsid w:val="00AB4B1D"/>
    <w:rsid w:val="00AB68E8"/>
    <w:rsid w:val="00AC1AD4"/>
    <w:rsid w:val="00AC4B3F"/>
    <w:rsid w:val="00AD2765"/>
    <w:rsid w:val="00AD7E1F"/>
    <w:rsid w:val="00AE1585"/>
    <w:rsid w:val="00AE2AF8"/>
    <w:rsid w:val="00AE3F88"/>
    <w:rsid w:val="00AF2BD6"/>
    <w:rsid w:val="00AF2E95"/>
    <w:rsid w:val="00AF7723"/>
    <w:rsid w:val="00B00685"/>
    <w:rsid w:val="00B01C8D"/>
    <w:rsid w:val="00B01EED"/>
    <w:rsid w:val="00B02E48"/>
    <w:rsid w:val="00B04FBF"/>
    <w:rsid w:val="00B05476"/>
    <w:rsid w:val="00B079D4"/>
    <w:rsid w:val="00B10BC9"/>
    <w:rsid w:val="00B1107C"/>
    <w:rsid w:val="00B11F42"/>
    <w:rsid w:val="00B34384"/>
    <w:rsid w:val="00B3738D"/>
    <w:rsid w:val="00B4333F"/>
    <w:rsid w:val="00B435DA"/>
    <w:rsid w:val="00B43FDB"/>
    <w:rsid w:val="00B46243"/>
    <w:rsid w:val="00B50DAA"/>
    <w:rsid w:val="00B5189E"/>
    <w:rsid w:val="00B52D95"/>
    <w:rsid w:val="00B66A75"/>
    <w:rsid w:val="00B66AAD"/>
    <w:rsid w:val="00B71064"/>
    <w:rsid w:val="00B7284D"/>
    <w:rsid w:val="00B75954"/>
    <w:rsid w:val="00B75B6C"/>
    <w:rsid w:val="00B7658C"/>
    <w:rsid w:val="00B7738A"/>
    <w:rsid w:val="00B84F20"/>
    <w:rsid w:val="00B872FC"/>
    <w:rsid w:val="00B94049"/>
    <w:rsid w:val="00B95C4C"/>
    <w:rsid w:val="00B978A4"/>
    <w:rsid w:val="00B97AFD"/>
    <w:rsid w:val="00BA0551"/>
    <w:rsid w:val="00BA38E1"/>
    <w:rsid w:val="00BA5BF5"/>
    <w:rsid w:val="00BA712E"/>
    <w:rsid w:val="00BB4BCF"/>
    <w:rsid w:val="00BC3662"/>
    <w:rsid w:val="00BD1A02"/>
    <w:rsid w:val="00BD306D"/>
    <w:rsid w:val="00BD5809"/>
    <w:rsid w:val="00BE01AD"/>
    <w:rsid w:val="00BE3792"/>
    <w:rsid w:val="00BF296D"/>
    <w:rsid w:val="00BF2A0B"/>
    <w:rsid w:val="00BF36D9"/>
    <w:rsid w:val="00BF722F"/>
    <w:rsid w:val="00BF7DD2"/>
    <w:rsid w:val="00C040A8"/>
    <w:rsid w:val="00C05523"/>
    <w:rsid w:val="00C067BB"/>
    <w:rsid w:val="00C07752"/>
    <w:rsid w:val="00C10467"/>
    <w:rsid w:val="00C131B0"/>
    <w:rsid w:val="00C1530D"/>
    <w:rsid w:val="00C164AB"/>
    <w:rsid w:val="00C44982"/>
    <w:rsid w:val="00C5037A"/>
    <w:rsid w:val="00C5111E"/>
    <w:rsid w:val="00C55474"/>
    <w:rsid w:val="00C5689B"/>
    <w:rsid w:val="00C57630"/>
    <w:rsid w:val="00C63060"/>
    <w:rsid w:val="00C63914"/>
    <w:rsid w:val="00C716DC"/>
    <w:rsid w:val="00C717F7"/>
    <w:rsid w:val="00C76187"/>
    <w:rsid w:val="00C76B4E"/>
    <w:rsid w:val="00C800CC"/>
    <w:rsid w:val="00C805EE"/>
    <w:rsid w:val="00C80F84"/>
    <w:rsid w:val="00C812E1"/>
    <w:rsid w:val="00C81DAE"/>
    <w:rsid w:val="00C837D7"/>
    <w:rsid w:val="00C85B75"/>
    <w:rsid w:val="00CB3749"/>
    <w:rsid w:val="00CB39CA"/>
    <w:rsid w:val="00CB3DCF"/>
    <w:rsid w:val="00CB4777"/>
    <w:rsid w:val="00CB5E14"/>
    <w:rsid w:val="00CB6465"/>
    <w:rsid w:val="00CB7C86"/>
    <w:rsid w:val="00CC035E"/>
    <w:rsid w:val="00CC0BD5"/>
    <w:rsid w:val="00CC3027"/>
    <w:rsid w:val="00CC380D"/>
    <w:rsid w:val="00CC4958"/>
    <w:rsid w:val="00CC4D16"/>
    <w:rsid w:val="00CC4DF1"/>
    <w:rsid w:val="00CC7EAE"/>
    <w:rsid w:val="00CC7ED8"/>
    <w:rsid w:val="00CD0862"/>
    <w:rsid w:val="00CD16A4"/>
    <w:rsid w:val="00CD1C8E"/>
    <w:rsid w:val="00CE00A4"/>
    <w:rsid w:val="00CE0CA4"/>
    <w:rsid w:val="00CE41F8"/>
    <w:rsid w:val="00CE68F7"/>
    <w:rsid w:val="00CE70EA"/>
    <w:rsid w:val="00CF022E"/>
    <w:rsid w:val="00CF0D68"/>
    <w:rsid w:val="00CF2ED0"/>
    <w:rsid w:val="00CF63AD"/>
    <w:rsid w:val="00D0101C"/>
    <w:rsid w:val="00D06EA8"/>
    <w:rsid w:val="00D074A6"/>
    <w:rsid w:val="00D10418"/>
    <w:rsid w:val="00D157F2"/>
    <w:rsid w:val="00D16247"/>
    <w:rsid w:val="00D20DDE"/>
    <w:rsid w:val="00D21480"/>
    <w:rsid w:val="00D215C4"/>
    <w:rsid w:val="00D22043"/>
    <w:rsid w:val="00D312F4"/>
    <w:rsid w:val="00D3159D"/>
    <w:rsid w:val="00D44D06"/>
    <w:rsid w:val="00D46C6F"/>
    <w:rsid w:val="00D46DDA"/>
    <w:rsid w:val="00D46F94"/>
    <w:rsid w:val="00D47B0F"/>
    <w:rsid w:val="00D5023E"/>
    <w:rsid w:val="00D508D5"/>
    <w:rsid w:val="00D515F2"/>
    <w:rsid w:val="00D541C0"/>
    <w:rsid w:val="00D5484C"/>
    <w:rsid w:val="00D57CE1"/>
    <w:rsid w:val="00D61CFF"/>
    <w:rsid w:val="00D63617"/>
    <w:rsid w:val="00D70419"/>
    <w:rsid w:val="00D73794"/>
    <w:rsid w:val="00D74D65"/>
    <w:rsid w:val="00D74F6B"/>
    <w:rsid w:val="00D8015E"/>
    <w:rsid w:val="00D86C9E"/>
    <w:rsid w:val="00D87CD3"/>
    <w:rsid w:val="00D90107"/>
    <w:rsid w:val="00D97D00"/>
    <w:rsid w:val="00DA1598"/>
    <w:rsid w:val="00DA1B60"/>
    <w:rsid w:val="00DA33C2"/>
    <w:rsid w:val="00DA3B0E"/>
    <w:rsid w:val="00DB1397"/>
    <w:rsid w:val="00DB2659"/>
    <w:rsid w:val="00DB3ABC"/>
    <w:rsid w:val="00DB40C8"/>
    <w:rsid w:val="00DB51C3"/>
    <w:rsid w:val="00DC139A"/>
    <w:rsid w:val="00DC185E"/>
    <w:rsid w:val="00DD2D12"/>
    <w:rsid w:val="00DD2D3A"/>
    <w:rsid w:val="00DD49AA"/>
    <w:rsid w:val="00DE1075"/>
    <w:rsid w:val="00DE19EC"/>
    <w:rsid w:val="00DE716D"/>
    <w:rsid w:val="00DF7EB5"/>
    <w:rsid w:val="00E01956"/>
    <w:rsid w:val="00E038E4"/>
    <w:rsid w:val="00E049CF"/>
    <w:rsid w:val="00E04F1E"/>
    <w:rsid w:val="00E04F89"/>
    <w:rsid w:val="00E05C42"/>
    <w:rsid w:val="00E07655"/>
    <w:rsid w:val="00E078EF"/>
    <w:rsid w:val="00E142B1"/>
    <w:rsid w:val="00E20991"/>
    <w:rsid w:val="00E23894"/>
    <w:rsid w:val="00E31403"/>
    <w:rsid w:val="00E335FA"/>
    <w:rsid w:val="00E337D5"/>
    <w:rsid w:val="00E35267"/>
    <w:rsid w:val="00E37137"/>
    <w:rsid w:val="00E42D3B"/>
    <w:rsid w:val="00E469A1"/>
    <w:rsid w:val="00E47D23"/>
    <w:rsid w:val="00E55D49"/>
    <w:rsid w:val="00E626E0"/>
    <w:rsid w:val="00E70D6F"/>
    <w:rsid w:val="00E81423"/>
    <w:rsid w:val="00E82C18"/>
    <w:rsid w:val="00E82F14"/>
    <w:rsid w:val="00E85926"/>
    <w:rsid w:val="00E903E8"/>
    <w:rsid w:val="00E92455"/>
    <w:rsid w:val="00E94DC2"/>
    <w:rsid w:val="00EA0DC3"/>
    <w:rsid w:val="00EA187C"/>
    <w:rsid w:val="00EA1E6D"/>
    <w:rsid w:val="00EA2979"/>
    <w:rsid w:val="00EA7166"/>
    <w:rsid w:val="00EB2CB6"/>
    <w:rsid w:val="00EB45B9"/>
    <w:rsid w:val="00EB7CC8"/>
    <w:rsid w:val="00EC0ABA"/>
    <w:rsid w:val="00EC303B"/>
    <w:rsid w:val="00EC36A8"/>
    <w:rsid w:val="00EC4879"/>
    <w:rsid w:val="00ED4585"/>
    <w:rsid w:val="00ED795D"/>
    <w:rsid w:val="00EE3958"/>
    <w:rsid w:val="00EE50F2"/>
    <w:rsid w:val="00EE68FE"/>
    <w:rsid w:val="00EE73CF"/>
    <w:rsid w:val="00EE781D"/>
    <w:rsid w:val="00EF145A"/>
    <w:rsid w:val="00EF2D8D"/>
    <w:rsid w:val="00F0089C"/>
    <w:rsid w:val="00F05D1C"/>
    <w:rsid w:val="00F073BE"/>
    <w:rsid w:val="00F1270C"/>
    <w:rsid w:val="00F144D7"/>
    <w:rsid w:val="00F1495C"/>
    <w:rsid w:val="00F14BCD"/>
    <w:rsid w:val="00F17441"/>
    <w:rsid w:val="00F20D64"/>
    <w:rsid w:val="00F24ED2"/>
    <w:rsid w:val="00F252FA"/>
    <w:rsid w:val="00F301CF"/>
    <w:rsid w:val="00F30C07"/>
    <w:rsid w:val="00F310D8"/>
    <w:rsid w:val="00F31E12"/>
    <w:rsid w:val="00F37416"/>
    <w:rsid w:val="00F40476"/>
    <w:rsid w:val="00F412A2"/>
    <w:rsid w:val="00F4342A"/>
    <w:rsid w:val="00F434F6"/>
    <w:rsid w:val="00F46D98"/>
    <w:rsid w:val="00F47AD4"/>
    <w:rsid w:val="00F50864"/>
    <w:rsid w:val="00F53714"/>
    <w:rsid w:val="00F54358"/>
    <w:rsid w:val="00F54B8E"/>
    <w:rsid w:val="00F57D76"/>
    <w:rsid w:val="00F61D09"/>
    <w:rsid w:val="00F61DB6"/>
    <w:rsid w:val="00F632A2"/>
    <w:rsid w:val="00F6375C"/>
    <w:rsid w:val="00F65632"/>
    <w:rsid w:val="00F657F1"/>
    <w:rsid w:val="00F674C6"/>
    <w:rsid w:val="00F710DF"/>
    <w:rsid w:val="00F76693"/>
    <w:rsid w:val="00F82646"/>
    <w:rsid w:val="00F84B43"/>
    <w:rsid w:val="00F85E5C"/>
    <w:rsid w:val="00F865C3"/>
    <w:rsid w:val="00F87142"/>
    <w:rsid w:val="00F91DD4"/>
    <w:rsid w:val="00F93890"/>
    <w:rsid w:val="00F97274"/>
    <w:rsid w:val="00F97CC5"/>
    <w:rsid w:val="00FA190E"/>
    <w:rsid w:val="00FA4588"/>
    <w:rsid w:val="00FA4EB1"/>
    <w:rsid w:val="00FA58A1"/>
    <w:rsid w:val="00FA6EF5"/>
    <w:rsid w:val="00FA78FF"/>
    <w:rsid w:val="00FB03C8"/>
    <w:rsid w:val="00FB0C22"/>
    <w:rsid w:val="00FB514C"/>
    <w:rsid w:val="00FB5960"/>
    <w:rsid w:val="00FC0041"/>
    <w:rsid w:val="00FC1648"/>
    <w:rsid w:val="00FC4C1D"/>
    <w:rsid w:val="00FC542E"/>
    <w:rsid w:val="00FC582E"/>
    <w:rsid w:val="00FD30A4"/>
    <w:rsid w:val="00FD68EB"/>
    <w:rsid w:val="00FD7296"/>
    <w:rsid w:val="00FD74C7"/>
    <w:rsid w:val="00FE1BC5"/>
    <w:rsid w:val="00FE1F76"/>
    <w:rsid w:val="00FE64D5"/>
    <w:rsid w:val="00FE799E"/>
    <w:rsid w:val="00FF265A"/>
    <w:rsid w:val="00FF2CA7"/>
    <w:rsid w:val="00FF48D9"/>
    <w:rsid w:val="00FF52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2BB84F"/>
  <w15:chartTrackingRefBased/>
  <w15:docId w15:val="{F8B22EFD-FA4D-4209-B419-6C3FF47A9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4FB0"/>
    <w:pPr>
      <w:spacing w:after="0" w:line="240" w:lineRule="auto"/>
    </w:pPr>
    <w:rPr>
      <w:rFonts w:ascii="Calibri" w:hAnsi="Calibri" w:cs="Calibri"/>
    </w:rPr>
  </w:style>
  <w:style w:type="paragraph" w:styleId="Heading1">
    <w:name w:val="heading 1"/>
    <w:basedOn w:val="Normal"/>
    <w:link w:val="Heading1Char"/>
    <w:uiPriority w:val="9"/>
    <w:qFormat/>
    <w:rsid w:val="005B7F2C"/>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84FB0"/>
    <w:rPr>
      <w:color w:val="0563C1"/>
      <w:u w:val="single"/>
    </w:rPr>
  </w:style>
  <w:style w:type="character" w:styleId="FollowedHyperlink">
    <w:name w:val="FollowedHyperlink"/>
    <w:basedOn w:val="DefaultParagraphFont"/>
    <w:uiPriority w:val="99"/>
    <w:semiHidden/>
    <w:unhideWhenUsed/>
    <w:rsid w:val="007C5E5C"/>
    <w:rPr>
      <w:color w:val="954F72" w:themeColor="followedHyperlink"/>
      <w:u w:val="single"/>
    </w:rPr>
  </w:style>
  <w:style w:type="paragraph" w:styleId="Header">
    <w:name w:val="header"/>
    <w:basedOn w:val="Normal"/>
    <w:link w:val="HeaderChar"/>
    <w:uiPriority w:val="99"/>
    <w:unhideWhenUsed/>
    <w:rsid w:val="00CC380D"/>
    <w:pPr>
      <w:tabs>
        <w:tab w:val="center" w:pos="4680"/>
        <w:tab w:val="right" w:pos="9360"/>
      </w:tabs>
    </w:pPr>
  </w:style>
  <w:style w:type="character" w:customStyle="1" w:styleId="HeaderChar">
    <w:name w:val="Header Char"/>
    <w:basedOn w:val="DefaultParagraphFont"/>
    <w:link w:val="Header"/>
    <w:uiPriority w:val="99"/>
    <w:rsid w:val="00CC380D"/>
    <w:rPr>
      <w:rFonts w:ascii="Calibri" w:hAnsi="Calibri" w:cs="Calibri"/>
    </w:rPr>
  </w:style>
  <w:style w:type="paragraph" w:styleId="Footer">
    <w:name w:val="footer"/>
    <w:basedOn w:val="Normal"/>
    <w:link w:val="FooterChar"/>
    <w:uiPriority w:val="99"/>
    <w:unhideWhenUsed/>
    <w:rsid w:val="00CC380D"/>
    <w:pPr>
      <w:tabs>
        <w:tab w:val="center" w:pos="4680"/>
        <w:tab w:val="right" w:pos="9360"/>
      </w:tabs>
    </w:pPr>
  </w:style>
  <w:style w:type="character" w:customStyle="1" w:styleId="FooterChar">
    <w:name w:val="Footer Char"/>
    <w:basedOn w:val="DefaultParagraphFont"/>
    <w:link w:val="Footer"/>
    <w:uiPriority w:val="99"/>
    <w:rsid w:val="00CC380D"/>
    <w:rPr>
      <w:rFonts w:ascii="Calibri" w:hAnsi="Calibri" w:cs="Calibri"/>
    </w:rPr>
  </w:style>
  <w:style w:type="character" w:styleId="Strong">
    <w:name w:val="Strong"/>
    <w:uiPriority w:val="22"/>
    <w:qFormat/>
    <w:rsid w:val="00CC380D"/>
    <w:rPr>
      <w:b/>
      <w:bCs/>
    </w:rPr>
  </w:style>
  <w:style w:type="paragraph" w:styleId="BalloonText">
    <w:name w:val="Balloon Text"/>
    <w:basedOn w:val="Normal"/>
    <w:link w:val="BalloonTextChar"/>
    <w:uiPriority w:val="99"/>
    <w:semiHidden/>
    <w:unhideWhenUsed/>
    <w:rsid w:val="00CE00A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00A4"/>
    <w:rPr>
      <w:rFonts w:ascii="Segoe UI" w:hAnsi="Segoe UI" w:cs="Segoe UI"/>
      <w:sz w:val="18"/>
      <w:szCs w:val="18"/>
    </w:rPr>
  </w:style>
  <w:style w:type="paragraph" w:styleId="NormalWeb">
    <w:name w:val="Normal (Web)"/>
    <w:basedOn w:val="Normal"/>
    <w:uiPriority w:val="99"/>
    <w:semiHidden/>
    <w:unhideWhenUsed/>
    <w:rsid w:val="003765AD"/>
    <w:pPr>
      <w:spacing w:before="100" w:beforeAutospacing="1" w:after="100" w:afterAutospacing="1"/>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EE73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EE73CF"/>
    <w:rPr>
      <w:rFonts w:ascii="Courier New" w:eastAsia="Times New Roman" w:hAnsi="Courier New" w:cs="Courier New"/>
      <w:sz w:val="20"/>
      <w:szCs w:val="20"/>
    </w:rPr>
  </w:style>
  <w:style w:type="paragraph" w:customStyle="1" w:styleId="Default">
    <w:name w:val="Default"/>
    <w:rsid w:val="00862684"/>
    <w:pPr>
      <w:autoSpaceDE w:val="0"/>
      <w:autoSpaceDN w:val="0"/>
      <w:adjustRightInd w:val="0"/>
      <w:spacing w:after="0" w:line="240" w:lineRule="auto"/>
    </w:pPr>
    <w:rPr>
      <w:rFonts w:ascii="Wells Fargo Sans" w:hAnsi="Wells Fargo Sans" w:cs="Wells Fargo Sans"/>
      <w:color w:val="000000"/>
      <w:sz w:val="24"/>
      <w:szCs w:val="24"/>
    </w:rPr>
  </w:style>
  <w:style w:type="table" w:styleId="TableGrid">
    <w:name w:val="Table Grid"/>
    <w:basedOn w:val="TableNormal"/>
    <w:uiPriority w:val="39"/>
    <w:rsid w:val="001554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B7F2C"/>
    <w:rPr>
      <w:rFonts w:ascii="Times New Roman" w:eastAsia="Times New Roman" w:hAnsi="Times New Roman" w:cs="Times New Roman"/>
      <w:b/>
      <w:bCs/>
      <w:kern w:val="36"/>
      <w:sz w:val="48"/>
      <w:szCs w:val="48"/>
    </w:rPr>
  </w:style>
  <w:style w:type="character" w:styleId="UnresolvedMention">
    <w:name w:val="Unresolved Mention"/>
    <w:basedOn w:val="DefaultParagraphFont"/>
    <w:uiPriority w:val="99"/>
    <w:semiHidden/>
    <w:unhideWhenUsed/>
    <w:rsid w:val="008B35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2811">
      <w:bodyDiv w:val="1"/>
      <w:marLeft w:val="0"/>
      <w:marRight w:val="0"/>
      <w:marTop w:val="0"/>
      <w:marBottom w:val="0"/>
      <w:divBdr>
        <w:top w:val="none" w:sz="0" w:space="0" w:color="auto"/>
        <w:left w:val="none" w:sz="0" w:space="0" w:color="auto"/>
        <w:bottom w:val="none" w:sz="0" w:space="0" w:color="auto"/>
        <w:right w:val="none" w:sz="0" w:space="0" w:color="auto"/>
      </w:divBdr>
    </w:div>
    <w:div w:id="3171018">
      <w:bodyDiv w:val="1"/>
      <w:marLeft w:val="0"/>
      <w:marRight w:val="0"/>
      <w:marTop w:val="0"/>
      <w:marBottom w:val="0"/>
      <w:divBdr>
        <w:top w:val="none" w:sz="0" w:space="0" w:color="auto"/>
        <w:left w:val="none" w:sz="0" w:space="0" w:color="auto"/>
        <w:bottom w:val="none" w:sz="0" w:space="0" w:color="auto"/>
        <w:right w:val="none" w:sz="0" w:space="0" w:color="auto"/>
      </w:divBdr>
    </w:div>
    <w:div w:id="7408871">
      <w:bodyDiv w:val="1"/>
      <w:marLeft w:val="0"/>
      <w:marRight w:val="0"/>
      <w:marTop w:val="0"/>
      <w:marBottom w:val="0"/>
      <w:divBdr>
        <w:top w:val="none" w:sz="0" w:space="0" w:color="auto"/>
        <w:left w:val="none" w:sz="0" w:space="0" w:color="auto"/>
        <w:bottom w:val="none" w:sz="0" w:space="0" w:color="auto"/>
        <w:right w:val="none" w:sz="0" w:space="0" w:color="auto"/>
      </w:divBdr>
    </w:div>
    <w:div w:id="20790077">
      <w:bodyDiv w:val="1"/>
      <w:marLeft w:val="0"/>
      <w:marRight w:val="0"/>
      <w:marTop w:val="0"/>
      <w:marBottom w:val="0"/>
      <w:divBdr>
        <w:top w:val="none" w:sz="0" w:space="0" w:color="auto"/>
        <w:left w:val="none" w:sz="0" w:space="0" w:color="auto"/>
        <w:bottom w:val="none" w:sz="0" w:space="0" w:color="auto"/>
        <w:right w:val="none" w:sz="0" w:space="0" w:color="auto"/>
      </w:divBdr>
    </w:div>
    <w:div w:id="36124098">
      <w:bodyDiv w:val="1"/>
      <w:marLeft w:val="0"/>
      <w:marRight w:val="0"/>
      <w:marTop w:val="0"/>
      <w:marBottom w:val="0"/>
      <w:divBdr>
        <w:top w:val="none" w:sz="0" w:space="0" w:color="auto"/>
        <w:left w:val="none" w:sz="0" w:space="0" w:color="auto"/>
        <w:bottom w:val="none" w:sz="0" w:space="0" w:color="auto"/>
        <w:right w:val="none" w:sz="0" w:space="0" w:color="auto"/>
      </w:divBdr>
    </w:div>
    <w:div w:id="40401607">
      <w:bodyDiv w:val="1"/>
      <w:marLeft w:val="0"/>
      <w:marRight w:val="0"/>
      <w:marTop w:val="0"/>
      <w:marBottom w:val="0"/>
      <w:divBdr>
        <w:top w:val="none" w:sz="0" w:space="0" w:color="auto"/>
        <w:left w:val="none" w:sz="0" w:space="0" w:color="auto"/>
        <w:bottom w:val="none" w:sz="0" w:space="0" w:color="auto"/>
        <w:right w:val="none" w:sz="0" w:space="0" w:color="auto"/>
      </w:divBdr>
    </w:div>
    <w:div w:id="54816599">
      <w:bodyDiv w:val="1"/>
      <w:marLeft w:val="0"/>
      <w:marRight w:val="0"/>
      <w:marTop w:val="0"/>
      <w:marBottom w:val="0"/>
      <w:divBdr>
        <w:top w:val="none" w:sz="0" w:space="0" w:color="auto"/>
        <w:left w:val="none" w:sz="0" w:space="0" w:color="auto"/>
        <w:bottom w:val="none" w:sz="0" w:space="0" w:color="auto"/>
        <w:right w:val="none" w:sz="0" w:space="0" w:color="auto"/>
      </w:divBdr>
    </w:div>
    <w:div w:id="73557302">
      <w:bodyDiv w:val="1"/>
      <w:marLeft w:val="0"/>
      <w:marRight w:val="0"/>
      <w:marTop w:val="0"/>
      <w:marBottom w:val="0"/>
      <w:divBdr>
        <w:top w:val="none" w:sz="0" w:space="0" w:color="auto"/>
        <w:left w:val="none" w:sz="0" w:space="0" w:color="auto"/>
        <w:bottom w:val="none" w:sz="0" w:space="0" w:color="auto"/>
        <w:right w:val="none" w:sz="0" w:space="0" w:color="auto"/>
      </w:divBdr>
    </w:div>
    <w:div w:id="81073990">
      <w:bodyDiv w:val="1"/>
      <w:marLeft w:val="0"/>
      <w:marRight w:val="0"/>
      <w:marTop w:val="0"/>
      <w:marBottom w:val="0"/>
      <w:divBdr>
        <w:top w:val="none" w:sz="0" w:space="0" w:color="auto"/>
        <w:left w:val="none" w:sz="0" w:space="0" w:color="auto"/>
        <w:bottom w:val="none" w:sz="0" w:space="0" w:color="auto"/>
        <w:right w:val="none" w:sz="0" w:space="0" w:color="auto"/>
      </w:divBdr>
    </w:div>
    <w:div w:id="84811653">
      <w:bodyDiv w:val="1"/>
      <w:marLeft w:val="0"/>
      <w:marRight w:val="0"/>
      <w:marTop w:val="0"/>
      <w:marBottom w:val="0"/>
      <w:divBdr>
        <w:top w:val="none" w:sz="0" w:space="0" w:color="auto"/>
        <w:left w:val="none" w:sz="0" w:space="0" w:color="auto"/>
        <w:bottom w:val="none" w:sz="0" w:space="0" w:color="auto"/>
        <w:right w:val="none" w:sz="0" w:space="0" w:color="auto"/>
      </w:divBdr>
    </w:div>
    <w:div w:id="86464664">
      <w:bodyDiv w:val="1"/>
      <w:marLeft w:val="0"/>
      <w:marRight w:val="0"/>
      <w:marTop w:val="0"/>
      <w:marBottom w:val="0"/>
      <w:divBdr>
        <w:top w:val="none" w:sz="0" w:space="0" w:color="auto"/>
        <w:left w:val="none" w:sz="0" w:space="0" w:color="auto"/>
        <w:bottom w:val="none" w:sz="0" w:space="0" w:color="auto"/>
        <w:right w:val="none" w:sz="0" w:space="0" w:color="auto"/>
      </w:divBdr>
    </w:div>
    <w:div w:id="91051665">
      <w:bodyDiv w:val="1"/>
      <w:marLeft w:val="0"/>
      <w:marRight w:val="0"/>
      <w:marTop w:val="0"/>
      <w:marBottom w:val="0"/>
      <w:divBdr>
        <w:top w:val="none" w:sz="0" w:space="0" w:color="auto"/>
        <w:left w:val="none" w:sz="0" w:space="0" w:color="auto"/>
        <w:bottom w:val="none" w:sz="0" w:space="0" w:color="auto"/>
        <w:right w:val="none" w:sz="0" w:space="0" w:color="auto"/>
      </w:divBdr>
    </w:div>
    <w:div w:id="97524326">
      <w:bodyDiv w:val="1"/>
      <w:marLeft w:val="0"/>
      <w:marRight w:val="0"/>
      <w:marTop w:val="0"/>
      <w:marBottom w:val="0"/>
      <w:divBdr>
        <w:top w:val="none" w:sz="0" w:space="0" w:color="auto"/>
        <w:left w:val="none" w:sz="0" w:space="0" w:color="auto"/>
        <w:bottom w:val="none" w:sz="0" w:space="0" w:color="auto"/>
        <w:right w:val="none" w:sz="0" w:space="0" w:color="auto"/>
      </w:divBdr>
    </w:div>
    <w:div w:id="110901936">
      <w:bodyDiv w:val="1"/>
      <w:marLeft w:val="0"/>
      <w:marRight w:val="0"/>
      <w:marTop w:val="0"/>
      <w:marBottom w:val="0"/>
      <w:divBdr>
        <w:top w:val="none" w:sz="0" w:space="0" w:color="auto"/>
        <w:left w:val="none" w:sz="0" w:space="0" w:color="auto"/>
        <w:bottom w:val="none" w:sz="0" w:space="0" w:color="auto"/>
        <w:right w:val="none" w:sz="0" w:space="0" w:color="auto"/>
      </w:divBdr>
    </w:div>
    <w:div w:id="111754050">
      <w:bodyDiv w:val="1"/>
      <w:marLeft w:val="0"/>
      <w:marRight w:val="0"/>
      <w:marTop w:val="0"/>
      <w:marBottom w:val="0"/>
      <w:divBdr>
        <w:top w:val="none" w:sz="0" w:space="0" w:color="auto"/>
        <w:left w:val="none" w:sz="0" w:space="0" w:color="auto"/>
        <w:bottom w:val="none" w:sz="0" w:space="0" w:color="auto"/>
        <w:right w:val="none" w:sz="0" w:space="0" w:color="auto"/>
      </w:divBdr>
    </w:div>
    <w:div w:id="119030796">
      <w:bodyDiv w:val="1"/>
      <w:marLeft w:val="0"/>
      <w:marRight w:val="0"/>
      <w:marTop w:val="0"/>
      <w:marBottom w:val="0"/>
      <w:divBdr>
        <w:top w:val="none" w:sz="0" w:space="0" w:color="auto"/>
        <w:left w:val="none" w:sz="0" w:space="0" w:color="auto"/>
        <w:bottom w:val="none" w:sz="0" w:space="0" w:color="auto"/>
        <w:right w:val="none" w:sz="0" w:space="0" w:color="auto"/>
      </w:divBdr>
      <w:divsChild>
        <w:div w:id="601838027">
          <w:marLeft w:val="187"/>
          <w:marRight w:val="0"/>
          <w:marTop w:val="60"/>
          <w:marBottom w:val="0"/>
          <w:divBdr>
            <w:top w:val="none" w:sz="0" w:space="0" w:color="auto"/>
            <w:left w:val="none" w:sz="0" w:space="0" w:color="auto"/>
            <w:bottom w:val="none" w:sz="0" w:space="0" w:color="auto"/>
            <w:right w:val="none" w:sz="0" w:space="0" w:color="auto"/>
          </w:divBdr>
        </w:div>
      </w:divsChild>
    </w:div>
    <w:div w:id="143396403">
      <w:bodyDiv w:val="1"/>
      <w:marLeft w:val="0"/>
      <w:marRight w:val="0"/>
      <w:marTop w:val="0"/>
      <w:marBottom w:val="0"/>
      <w:divBdr>
        <w:top w:val="none" w:sz="0" w:space="0" w:color="auto"/>
        <w:left w:val="none" w:sz="0" w:space="0" w:color="auto"/>
        <w:bottom w:val="none" w:sz="0" w:space="0" w:color="auto"/>
        <w:right w:val="none" w:sz="0" w:space="0" w:color="auto"/>
      </w:divBdr>
    </w:div>
    <w:div w:id="149100356">
      <w:bodyDiv w:val="1"/>
      <w:marLeft w:val="0"/>
      <w:marRight w:val="0"/>
      <w:marTop w:val="0"/>
      <w:marBottom w:val="0"/>
      <w:divBdr>
        <w:top w:val="none" w:sz="0" w:space="0" w:color="auto"/>
        <w:left w:val="none" w:sz="0" w:space="0" w:color="auto"/>
        <w:bottom w:val="none" w:sz="0" w:space="0" w:color="auto"/>
        <w:right w:val="none" w:sz="0" w:space="0" w:color="auto"/>
      </w:divBdr>
    </w:div>
    <w:div w:id="154497583">
      <w:bodyDiv w:val="1"/>
      <w:marLeft w:val="0"/>
      <w:marRight w:val="0"/>
      <w:marTop w:val="0"/>
      <w:marBottom w:val="0"/>
      <w:divBdr>
        <w:top w:val="none" w:sz="0" w:space="0" w:color="auto"/>
        <w:left w:val="none" w:sz="0" w:space="0" w:color="auto"/>
        <w:bottom w:val="none" w:sz="0" w:space="0" w:color="auto"/>
        <w:right w:val="none" w:sz="0" w:space="0" w:color="auto"/>
      </w:divBdr>
    </w:div>
    <w:div w:id="174924324">
      <w:bodyDiv w:val="1"/>
      <w:marLeft w:val="0"/>
      <w:marRight w:val="0"/>
      <w:marTop w:val="0"/>
      <w:marBottom w:val="0"/>
      <w:divBdr>
        <w:top w:val="none" w:sz="0" w:space="0" w:color="auto"/>
        <w:left w:val="none" w:sz="0" w:space="0" w:color="auto"/>
        <w:bottom w:val="none" w:sz="0" w:space="0" w:color="auto"/>
        <w:right w:val="none" w:sz="0" w:space="0" w:color="auto"/>
      </w:divBdr>
    </w:div>
    <w:div w:id="176238860">
      <w:bodyDiv w:val="1"/>
      <w:marLeft w:val="0"/>
      <w:marRight w:val="0"/>
      <w:marTop w:val="0"/>
      <w:marBottom w:val="0"/>
      <w:divBdr>
        <w:top w:val="none" w:sz="0" w:space="0" w:color="auto"/>
        <w:left w:val="none" w:sz="0" w:space="0" w:color="auto"/>
        <w:bottom w:val="none" w:sz="0" w:space="0" w:color="auto"/>
        <w:right w:val="none" w:sz="0" w:space="0" w:color="auto"/>
      </w:divBdr>
    </w:div>
    <w:div w:id="215970670">
      <w:bodyDiv w:val="1"/>
      <w:marLeft w:val="0"/>
      <w:marRight w:val="0"/>
      <w:marTop w:val="0"/>
      <w:marBottom w:val="0"/>
      <w:divBdr>
        <w:top w:val="none" w:sz="0" w:space="0" w:color="auto"/>
        <w:left w:val="none" w:sz="0" w:space="0" w:color="auto"/>
        <w:bottom w:val="none" w:sz="0" w:space="0" w:color="auto"/>
        <w:right w:val="none" w:sz="0" w:space="0" w:color="auto"/>
      </w:divBdr>
    </w:div>
    <w:div w:id="220796732">
      <w:bodyDiv w:val="1"/>
      <w:marLeft w:val="0"/>
      <w:marRight w:val="0"/>
      <w:marTop w:val="0"/>
      <w:marBottom w:val="0"/>
      <w:divBdr>
        <w:top w:val="none" w:sz="0" w:space="0" w:color="auto"/>
        <w:left w:val="none" w:sz="0" w:space="0" w:color="auto"/>
        <w:bottom w:val="none" w:sz="0" w:space="0" w:color="auto"/>
        <w:right w:val="none" w:sz="0" w:space="0" w:color="auto"/>
      </w:divBdr>
    </w:div>
    <w:div w:id="239025916">
      <w:bodyDiv w:val="1"/>
      <w:marLeft w:val="0"/>
      <w:marRight w:val="0"/>
      <w:marTop w:val="0"/>
      <w:marBottom w:val="0"/>
      <w:divBdr>
        <w:top w:val="none" w:sz="0" w:space="0" w:color="auto"/>
        <w:left w:val="none" w:sz="0" w:space="0" w:color="auto"/>
        <w:bottom w:val="none" w:sz="0" w:space="0" w:color="auto"/>
        <w:right w:val="none" w:sz="0" w:space="0" w:color="auto"/>
      </w:divBdr>
    </w:div>
    <w:div w:id="241372619">
      <w:bodyDiv w:val="1"/>
      <w:marLeft w:val="0"/>
      <w:marRight w:val="0"/>
      <w:marTop w:val="0"/>
      <w:marBottom w:val="0"/>
      <w:divBdr>
        <w:top w:val="none" w:sz="0" w:space="0" w:color="auto"/>
        <w:left w:val="none" w:sz="0" w:space="0" w:color="auto"/>
        <w:bottom w:val="none" w:sz="0" w:space="0" w:color="auto"/>
        <w:right w:val="none" w:sz="0" w:space="0" w:color="auto"/>
      </w:divBdr>
    </w:div>
    <w:div w:id="268049135">
      <w:bodyDiv w:val="1"/>
      <w:marLeft w:val="0"/>
      <w:marRight w:val="0"/>
      <w:marTop w:val="0"/>
      <w:marBottom w:val="0"/>
      <w:divBdr>
        <w:top w:val="none" w:sz="0" w:space="0" w:color="auto"/>
        <w:left w:val="none" w:sz="0" w:space="0" w:color="auto"/>
        <w:bottom w:val="none" w:sz="0" w:space="0" w:color="auto"/>
        <w:right w:val="none" w:sz="0" w:space="0" w:color="auto"/>
      </w:divBdr>
    </w:div>
    <w:div w:id="274098507">
      <w:bodyDiv w:val="1"/>
      <w:marLeft w:val="0"/>
      <w:marRight w:val="0"/>
      <w:marTop w:val="0"/>
      <w:marBottom w:val="0"/>
      <w:divBdr>
        <w:top w:val="none" w:sz="0" w:space="0" w:color="auto"/>
        <w:left w:val="none" w:sz="0" w:space="0" w:color="auto"/>
        <w:bottom w:val="none" w:sz="0" w:space="0" w:color="auto"/>
        <w:right w:val="none" w:sz="0" w:space="0" w:color="auto"/>
      </w:divBdr>
    </w:div>
    <w:div w:id="285893512">
      <w:bodyDiv w:val="1"/>
      <w:marLeft w:val="0"/>
      <w:marRight w:val="0"/>
      <w:marTop w:val="0"/>
      <w:marBottom w:val="0"/>
      <w:divBdr>
        <w:top w:val="none" w:sz="0" w:space="0" w:color="auto"/>
        <w:left w:val="none" w:sz="0" w:space="0" w:color="auto"/>
        <w:bottom w:val="none" w:sz="0" w:space="0" w:color="auto"/>
        <w:right w:val="none" w:sz="0" w:space="0" w:color="auto"/>
      </w:divBdr>
    </w:div>
    <w:div w:id="293753730">
      <w:bodyDiv w:val="1"/>
      <w:marLeft w:val="0"/>
      <w:marRight w:val="0"/>
      <w:marTop w:val="0"/>
      <w:marBottom w:val="0"/>
      <w:divBdr>
        <w:top w:val="none" w:sz="0" w:space="0" w:color="auto"/>
        <w:left w:val="none" w:sz="0" w:space="0" w:color="auto"/>
        <w:bottom w:val="none" w:sz="0" w:space="0" w:color="auto"/>
        <w:right w:val="none" w:sz="0" w:space="0" w:color="auto"/>
      </w:divBdr>
    </w:div>
    <w:div w:id="297957359">
      <w:bodyDiv w:val="1"/>
      <w:marLeft w:val="0"/>
      <w:marRight w:val="0"/>
      <w:marTop w:val="0"/>
      <w:marBottom w:val="0"/>
      <w:divBdr>
        <w:top w:val="none" w:sz="0" w:space="0" w:color="auto"/>
        <w:left w:val="none" w:sz="0" w:space="0" w:color="auto"/>
        <w:bottom w:val="none" w:sz="0" w:space="0" w:color="auto"/>
        <w:right w:val="none" w:sz="0" w:space="0" w:color="auto"/>
      </w:divBdr>
    </w:div>
    <w:div w:id="304431670">
      <w:bodyDiv w:val="1"/>
      <w:marLeft w:val="0"/>
      <w:marRight w:val="0"/>
      <w:marTop w:val="0"/>
      <w:marBottom w:val="0"/>
      <w:divBdr>
        <w:top w:val="none" w:sz="0" w:space="0" w:color="auto"/>
        <w:left w:val="none" w:sz="0" w:space="0" w:color="auto"/>
        <w:bottom w:val="none" w:sz="0" w:space="0" w:color="auto"/>
        <w:right w:val="none" w:sz="0" w:space="0" w:color="auto"/>
      </w:divBdr>
    </w:div>
    <w:div w:id="304743755">
      <w:bodyDiv w:val="1"/>
      <w:marLeft w:val="0"/>
      <w:marRight w:val="0"/>
      <w:marTop w:val="0"/>
      <w:marBottom w:val="0"/>
      <w:divBdr>
        <w:top w:val="none" w:sz="0" w:space="0" w:color="auto"/>
        <w:left w:val="none" w:sz="0" w:space="0" w:color="auto"/>
        <w:bottom w:val="none" w:sz="0" w:space="0" w:color="auto"/>
        <w:right w:val="none" w:sz="0" w:space="0" w:color="auto"/>
      </w:divBdr>
    </w:div>
    <w:div w:id="314190598">
      <w:bodyDiv w:val="1"/>
      <w:marLeft w:val="0"/>
      <w:marRight w:val="0"/>
      <w:marTop w:val="0"/>
      <w:marBottom w:val="0"/>
      <w:divBdr>
        <w:top w:val="none" w:sz="0" w:space="0" w:color="auto"/>
        <w:left w:val="none" w:sz="0" w:space="0" w:color="auto"/>
        <w:bottom w:val="none" w:sz="0" w:space="0" w:color="auto"/>
        <w:right w:val="none" w:sz="0" w:space="0" w:color="auto"/>
      </w:divBdr>
    </w:div>
    <w:div w:id="319503969">
      <w:bodyDiv w:val="1"/>
      <w:marLeft w:val="0"/>
      <w:marRight w:val="0"/>
      <w:marTop w:val="0"/>
      <w:marBottom w:val="0"/>
      <w:divBdr>
        <w:top w:val="none" w:sz="0" w:space="0" w:color="auto"/>
        <w:left w:val="none" w:sz="0" w:space="0" w:color="auto"/>
        <w:bottom w:val="none" w:sz="0" w:space="0" w:color="auto"/>
        <w:right w:val="none" w:sz="0" w:space="0" w:color="auto"/>
      </w:divBdr>
    </w:div>
    <w:div w:id="333650380">
      <w:bodyDiv w:val="1"/>
      <w:marLeft w:val="0"/>
      <w:marRight w:val="0"/>
      <w:marTop w:val="0"/>
      <w:marBottom w:val="0"/>
      <w:divBdr>
        <w:top w:val="none" w:sz="0" w:space="0" w:color="auto"/>
        <w:left w:val="none" w:sz="0" w:space="0" w:color="auto"/>
        <w:bottom w:val="none" w:sz="0" w:space="0" w:color="auto"/>
        <w:right w:val="none" w:sz="0" w:space="0" w:color="auto"/>
      </w:divBdr>
    </w:div>
    <w:div w:id="369231929">
      <w:bodyDiv w:val="1"/>
      <w:marLeft w:val="0"/>
      <w:marRight w:val="0"/>
      <w:marTop w:val="0"/>
      <w:marBottom w:val="0"/>
      <w:divBdr>
        <w:top w:val="none" w:sz="0" w:space="0" w:color="auto"/>
        <w:left w:val="none" w:sz="0" w:space="0" w:color="auto"/>
        <w:bottom w:val="none" w:sz="0" w:space="0" w:color="auto"/>
        <w:right w:val="none" w:sz="0" w:space="0" w:color="auto"/>
      </w:divBdr>
    </w:div>
    <w:div w:id="374937423">
      <w:bodyDiv w:val="1"/>
      <w:marLeft w:val="0"/>
      <w:marRight w:val="0"/>
      <w:marTop w:val="0"/>
      <w:marBottom w:val="0"/>
      <w:divBdr>
        <w:top w:val="none" w:sz="0" w:space="0" w:color="auto"/>
        <w:left w:val="none" w:sz="0" w:space="0" w:color="auto"/>
        <w:bottom w:val="none" w:sz="0" w:space="0" w:color="auto"/>
        <w:right w:val="none" w:sz="0" w:space="0" w:color="auto"/>
      </w:divBdr>
    </w:div>
    <w:div w:id="380178396">
      <w:bodyDiv w:val="1"/>
      <w:marLeft w:val="0"/>
      <w:marRight w:val="0"/>
      <w:marTop w:val="0"/>
      <w:marBottom w:val="0"/>
      <w:divBdr>
        <w:top w:val="none" w:sz="0" w:space="0" w:color="auto"/>
        <w:left w:val="none" w:sz="0" w:space="0" w:color="auto"/>
        <w:bottom w:val="none" w:sz="0" w:space="0" w:color="auto"/>
        <w:right w:val="none" w:sz="0" w:space="0" w:color="auto"/>
      </w:divBdr>
    </w:div>
    <w:div w:id="386878017">
      <w:bodyDiv w:val="1"/>
      <w:marLeft w:val="0"/>
      <w:marRight w:val="0"/>
      <w:marTop w:val="0"/>
      <w:marBottom w:val="0"/>
      <w:divBdr>
        <w:top w:val="none" w:sz="0" w:space="0" w:color="auto"/>
        <w:left w:val="none" w:sz="0" w:space="0" w:color="auto"/>
        <w:bottom w:val="none" w:sz="0" w:space="0" w:color="auto"/>
        <w:right w:val="none" w:sz="0" w:space="0" w:color="auto"/>
      </w:divBdr>
    </w:div>
    <w:div w:id="392848825">
      <w:bodyDiv w:val="1"/>
      <w:marLeft w:val="0"/>
      <w:marRight w:val="0"/>
      <w:marTop w:val="0"/>
      <w:marBottom w:val="0"/>
      <w:divBdr>
        <w:top w:val="none" w:sz="0" w:space="0" w:color="auto"/>
        <w:left w:val="none" w:sz="0" w:space="0" w:color="auto"/>
        <w:bottom w:val="none" w:sz="0" w:space="0" w:color="auto"/>
        <w:right w:val="none" w:sz="0" w:space="0" w:color="auto"/>
      </w:divBdr>
    </w:div>
    <w:div w:id="414672252">
      <w:bodyDiv w:val="1"/>
      <w:marLeft w:val="0"/>
      <w:marRight w:val="0"/>
      <w:marTop w:val="0"/>
      <w:marBottom w:val="0"/>
      <w:divBdr>
        <w:top w:val="none" w:sz="0" w:space="0" w:color="auto"/>
        <w:left w:val="none" w:sz="0" w:space="0" w:color="auto"/>
        <w:bottom w:val="none" w:sz="0" w:space="0" w:color="auto"/>
        <w:right w:val="none" w:sz="0" w:space="0" w:color="auto"/>
      </w:divBdr>
    </w:div>
    <w:div w:id="432631482">
      <w:bodyDiv w:val="1"/>
      <w:marLeft w:val="0"/>
      <w:marRight w:val="0"/>
      <w:marTop w:val="0"/>
      <w:marBottom w:val="0"/>
      <w:divBdr>
        <w:top w:val="none" w:sz="0" w:space="0" w:color="auto"/>
        <w:left w:val="none" w:sz="0" w:space="0" w:color="auto"/>
        <w:bottom w:val="none" w:sz="0" w:space="0" w:color="auto"/>
        <w:right w:val="none" w:sz="0" w:space="0" w:color="auto"/>
      </w:divBdr>
    </w:div>
    <w:div w:id="434449064">
      <w:bodyDiv w:val="1"/>
      <w:marLeft w:val="0"/>
      <w:marRight w:val="0"/>
      <w:marTop w:val="0"/>
      <w:marBottom w:val="0"/>
      <w:divBdr>
        <w:top w:val="none" w:sz="0" w:space="0" w:color="auto"/>
        <w:left w:val="none" w:sz="0" w:space="0" w:color="auto"/>
        <w:bottom w:val="none" w:sz="0" w:space="0" w:color="auto"/>
        <w:right w:val="none" w:sz="0" w:space="0" w:color="auto"/>
      </w:divBdr>
    </w:div>
    <w:div w:id="455412515">
      <w:bodyDiv w:val="1"/>
      <w:marLeft w:val="0"/>
      <w:marRight w:val="0"/>
      <w:marTop w:val="0"/>
      <w:marBottom w:val="0"/>
      <w:divBdr>
        <w:top w:val="none" w:sz="0" w:space="0" w:color="auto"/>
        <w:left w:val="none" w:sz="0" w:space="0" w:color="auto"/>
        <w:bottom w:val="none" w:sz="0" w:space="0" w:color="auto"/>
        <w:right w:val="none" w:sz="0" w:space="0" w:color="auto"/>
      </w:divBdr>
    </w:div>
    <w:div w:id="457453357">
      <w:bodyDiv w:val="1"/>
      <w:marLeft w:val="0"/>
      <w:marRight w:val="0"/>
      <w:marTop w:val="0"/>
      <w:marBottom w:val="0"/>
      <w:divBdr>
        <w:top w:val="none" w:sz="0" w:space="0" w:color="auto"/>
        <w:left w:val="none" w:sz="0" w:space="0" w:color="auto"/>
        <w:bottom w:val="none" w:sz="0" w:space="0" w:color="auto"/>
        <w:right w:val="none" w:sz="0" w:space="0" w:color="auto"/>
      </w:divBdr>
    </w:div>
    <w:div w:id="460079812">
      <w:bodyDiv w:val="1"/>
      <w:marLeft w:val="0"/>
      <w:marRight w:val="0"/>
      <w:marTop w:val="0"/>
      <w:marBottom w:val="0"/>
      <w:divBdr>
        <w:top w:val="none" w:sz="0" w:space="0" w:color="auto"/>
        <w:left w:val="none" w:sz="0" w:space="0" w:color="auto"/>
        <w:bottom w:val="none" w:sz="0" w:space="0" w:color="auto"/>
        <w:right w:val="none" w:sz="0" w:space="0" w:color="auto"/>
      </w:divBdr>
    </w:div>
    <w:div w:id="463044473">
      <w:bodyDiv w:val="1"/>
      <w:marLeft w:val="0"/>
      <w:marRight w:val="0"/>
      <w:marTop w:val="0"/>
      <w:marBottom w:val="0"/>
      <w:divBdr>
        <w:top w:val="none" w:sz="0" w:space="0" w:color="auto"/>
        <w:left w:val="none" w:sz="0" w:space="0" w:color="auto"/>
        <w:bottom w:val="none" w:sz="0" w:space="0" w:color="auto"/>
        <w:right w:val="none" w:sz="0" w:space="0" w:color="auto"/>
      </w:divBdr>
    </w:div>
    <w:div w:id="471144593">
      <w:bodyDiv w:val="1"/>
      <w:marLeft w:val="0"/>
      <w:marRight w:val="0"/>
      <w:marTop w:val="0"/>
      <w:marBottom w:val="0"/>
      <w:divBdr>
        <w:top w:val="none" w:sz="0" w:space="0" w:color="auto"/>
        <w:left w:val="none" w:sz="0" w:space="0" w:color="auto"/>
        <w:bottom w:val="none" w:sz="0" w:space="0" w:color="auto"/>
        <w:right w:val="none" w:sz="0" w:space="0" w:color="auto"/>
      </w:divBdr>
    </w:div>
    <w:div w:id="483745836">
      <w:bodyDiv w:val="1"/>
      <w:marLeft w:val="0"/>
      <w:marRight w:val="0"/>
      <w:marTop w:val="0"/>
      <w:marBottom w:val="0"/>
      <w:divBdr>
        <w:top w:val="none" w:sz="0" w:space="0" w:color="auto"/>
        <w:left w:val="none" w:sz="0" w:space="0" w:color="auto"/>
        <w:bottom w:val="none" w:sz="0" w:space="0" w:color="auto"/>
        <w:right w:val="none" w:sz="0" w:space="0" w:color="auto"/>
      </w:divBdr>
    </w:div>
    <w:div w:id="514809793">
      <w:bodyDiv w:val="1"/>
      <w:marLeft w:val="0"/>
      <w:marRight w:val="0"/>
      <w:marTop w:val="0"/>
      <w:marBottom w:val="0"/>
      <w:divBdr>
        <w:top w:val="none" w:sz="0" w:space="0" w:color="auto"/>
        <w:left w:val="none" w:sz="0" w:space="0" w:color="auto"/>
        <w:bottom w:val="none" w:sz="0" w:space="0" w:color="auto"/>
        <w:right w:val="none" w:sz="0" w:space="0" w:color="auto"/>
      </w:divBdr>
    </w:div>
    <w:div w:id="520700307">
      <w:bodyDiv w:val="1"/>
      <w:marLeft w:val="0"/>
      <w:marRight w:val="0"/>
      <w:marTop w:val="0"/>
      <w:marBottom w:val="0"/>
      <w:divBdr>
        <w:top w:val="none" w:sz="0" w:space="0" w:color="auto"/>
        <w:left w:val="none" w:sz="0" w:space="0" w:color="auto"/>
        <w:bottom w:val="none" w:sz="0" w:space="0" w:color="auto"/>
        <w:right w:val="none" w:sz="0" w:space="0" w:color="auto"/>
      </w:divBdr>
    </w:div>
    <w:div w:id="524561132">
      <w:bodyDiv w:val="1"/>
      <w:marLeft w:val="0"/>
      <w:marRight w:val="0"/>
      <w:marTop w:val="0"/>
      <w:marBottom w:val="0"/>
      <w:divBdr>
        <w:top w:val="none" w:sz="0" w:space="0" w:color="auto"/>
        <w:left w:val="none" w:sz="0" w:space="0" w:color="auto"/>
        <w:bottom w:val="none" w:sz="0" w:space="0" w:color="auto"/>
        <w:right w:val="none" w:sz="0" w:space="0" w:color="auto"/>
      </w:divBdr>
    </w:div>
    <w:div w:id="527331088">
      <w:bodyDiv w:val="1"/>
      <w:marLeft w:val="0"/>
      <w:marRight w:val="0"/>
      <w:marTop w:val="0"/>
      <w:marBottom w:val="0"/>
      <w:divBdr>
        <w:top w:val="none" w:sz="0" w:space="0" w:color="auto"/>
        <w:left w:val="none" w:sz="0" w:space="0" w:color="auto"/>
        <w:bottom w:val="none" w:sz="0" w:space="0" w:color="auto"/>
        <w:right w:val="none" w:sz="0" w:space="0" w:color="auto"/>
      </w:divBdr>
    </w:div>
    <w:div w:id="527765091">
      <w:bodyDiv w:val="1"/>
      <w:marLeft w:val="0"/>
      <w:marRight w:val="0"/>
      <w:marTop w:val="0"/>
      <w:marBottom w:val="0"/>
      <w:divBdr>
        <w:top w:val="none" w:sz="0" w:space="0" w:color="auto"/>
        <w:left w:val="none" w:sz="0" w:space="0" w:color="auto"/>
        <w:bottom w:val="none" w:sz="0" w:space="0" w:color="auto"/>
        <w:right w:val="none" w:sz="0" w:space="0" w:color="auto"/>
      </w:divBdr>
    </w:div>
    <w:div w:id="540244267">
      <w:bodyDiv w:val="1"/>
      <w:marLeft w:val="0"/>
      <w:marRight w:val="0"/>
      <w:marTop w:val="0"/>
      <w:marBottom w:val="0"/>
      <w:divBdr>
        <w:top w:val="none" w:sz="0" w:space="0" w:color="auto"/>
        <w:left w:val="none" w:sz="0" w:space="0" w:color="auto"/>
        <w:bottom w:val="none" w:sz="0" w:space="0" w:color="auto"/>
        <w:right w:val="none" w:sz="0" w:space="0" w:color="auto"/>
      </w:divBdr>
    </w:div>
    <w:div w:id="550650831">
      <w:bodyDiv w:val="1"/>
      <w:marLeft w:val="0"/>
      <w:marRight w:val="0"/>
      <w:marTop w:val="0"/>
      <w:marBottom w:val="0"/>
      <w:divBdr>
        <w:top w:val="none" w:sz="0" w:space="0" w:color="auto"/>
        <w:left w:val="none" w:sz="0" w:space="0" w:color="auto"/>
        <w:bottom w:val="none" w:sz="0" w:space="0" w:color="auto"/>
        <w:right w:val="none" w:sz="0" w:space="0" w:color="auto"/>
      </w:divBdr>
    </w:div>
    <w:div w:id="552695196">
      <w:bodyDiv w:val="1"/>
      <w:marLeft w:val="0"/>
      <w:marRight w:val="0"/>
      <w:marTop w:val="0"/>
      <w:marBottom w:val="0"/>
      <w:divBdr>
        <w:top w:val="none" w:sz="0" w:space="0" w:color="auto"/>
        <w:left w:val="none" w:sz="0" w:space="0" w:color="auto"/>
        <w:bottom w:val="none" w:sz="0" w:space="0" w:color="auto"/>
        <w:right w:val="none" w:sz="0" w:space="0" w:color="auto"/>
      </w:divBdr>
    </w:div>
    <w:div w:id="559630975">
      <w:bodyDiv w:val="1"/>
      <w:marLeft w:val="0"/>
      <w:marRight w:val="0"/>
      <w:marTop w:val="0"/>
      <w:marBottom w:val="0"/>
      <w:divBdr>
        <w:top w:val="none" w:sz="0" w:space="0" w:color="auto"/>
        <w:left w:val="none" w:sz="0" w:space="0" w:color="auto"/>
        <w:bottom w:val="none" w:sz="0" w:space="0" w:color="auto"/>
        <w:right w:val="none" w:sz="0" w:space="0" w:color="auto"/>
      </w:divBdr>
    </w:div>
    <w:div w:id="572084791">
      <w:bodyDiv w:val="1"/>
      <w:marLeft w:val="0"/>
      <w:marRight w:val="0"/>
      <w:marTop w:val="0"/>
      <w:marBottom w:val="0"/>
      <w:divBdr>
        <w:top w:val="none" w:sz="0" w:space="0" w:color="auto"/>
        <w:left w:val="none" w:sz="0" w:space="0" w:color="auto"/>
        <w:bottom w:val="none" w:sz="0" w:space="0" w:color="auto"/>
        <w:right w:val="none" w:sz="0" w:space="0" w:color="auto"/>
      </w:divBdr>
    </w:div>
    <w:div w:id="593783626">
      <w:bodyDiv w:val="1"/>
      <w:marLeft w:val="0"/>
      <w:marRight w:val="0"/>
      <w:marTop w:val="0"/>
      <w:marBottom w:val="0"/>
      <w:divBdr>
        <w:top w:val="none" w:sz="0" w:space="0" w:color="auto"/>
        <w:left w:val="none" w:sz="0" w:space="0" w:color="auto"/>
        <w:bottom w:val="none" w:sz="0" w:space="0" w:color="auto"/>
        <w:right w:val="none" w:sz="0" w:space="0" w:color="auto"/>
      </w:divBdr>
    </w:div>
    <w:div w:id="610816981">
      <w:bodyDiv w:val="1"/>
      <w:marLeft w:val="0"/>
      <w:marRight w:val="0"/>
      <w:marTop w:val="0"/>
      <w:marBottom w:val="0"/>
      <w:divBdr>
        <w:top w:val="none" w:sz="0" w:space="0" w:color="auto"/>
        <w:left w:val="none" w:sz="0" w:space="0" w:color="auto"/>
        <w:bottom w:val="none" w:sz="0" w:space="0" w:color="auto"/>
        <w:right w:val="none" w:sz="0" w:space="0" w:color="auto"/>
      </w:divBdr>
    </w:div>
    <w:div w:id="621420977">
      <w:bodyDiv w:val="1"/>
      <w:marLeft w:val="0"/>
      <w:marRight w:val="0"/>
      <w:marTop w:val="0"/>
      <w:marBottom w:val="0"/>
      <w:divBdr>
        <w:top w:val="none" w:sz="0" w:space="0" w:color="auto"/>
        <w:left w:val="none" w:sz="0" w:space="0" w:color="auto"/>
        <w:bottom w:val="none" w:sz="0" w:space="0" w:color="auto"/>
        <w:right w:val="none" w:sz="0" w:space="0" w:color="auto"/>
      </w:divBdr>
    </w:div>
    <w:div w:id="624772921">
      <w:bodyDiv w:val="1"/>
      <w:marLeft w:val="0"/>
      <w:marRight w:val="0"/>
      <w:marTop w:val="0"/>
      <w:marBottom w:val="0"/>
      <w:divBdr>
        <w:top w:val="none" w:sz="0" w:space="0" w:color="auto"/>
        <w:left w:val="none" w:sz="0" w:space="0" w:color="auto"/>
        <w:bottom w:val="none" w:sz="0" w:space="0" w:color="auto"/>
        <w:right w:val="none" w:sz="0" w:space="0" w:color="auto"/>
      </w:divBdr>
    </w:div>
    <w:div w:id="641622182">
      <w:bodyDiv w:val="1"/>
      <w:marLeft w:val="0"/>
      <w:marRight w:val="0"/>
      <w:marTop w:val="0"/>
      <w:marBottom w:val="0"/>
      <w:divBdr>
        <w:top w:val="none" w:sz="0" w:space="0" w:color="auto"/>
        <w:left w:val="none" w:sz="0" w:space="0" w:color="auto"/>
        <w:bottom w:val="none" w:sz="0" w:space="0" w:color="auto"/>
        <w:right w:val="none" w:sz="0" w:space="0" w:color="auto"/>
      </w:divBdr>
    </w:div>
    <w:div w:id="647519052">
      <w:bodyDiv w:val="1"/>
      <w:marLeft w:val="0"/>
      <w:marRight w:val="0"/>
      <w:marTop w:val="0"/>
      <w:marBottom w:val="0"/>
      <w:divBdr>
        <w:top w:val="none" w:sz="0" w:space="0" w:color="auto"/>
        <w:left w:val="none" w:sz="0" w:space="0" w:color="auto"/>
        <w:bottom w:val="none" w:sz="0" w:space="0" w:color="auto"/>
        <w:right w:val="none" w:sz="0" w:space="0" w:color="auto"/>
      </w:divBdr>
    </w:div>
    <w:div w:id="657996966">
      <w:bodyDiv w:val="1"/>
      <w:marLeft w:val="0"/>
      <w:marRight w:val="0"/>
      <w:marTop w:val="0"/>
      <w:marBottom w:val="0"/>
      <w:divBdr>
        <w:top w:val="none" w:sz="0" w:space="0" w:color="auto"/>
        <w:left w:val="none" w:sz="0" w:space="0" w:color="auto"/>
        <w:bottom w:val="none" w:sz="0" w:space="0" w:color="auto"/>
        <w:right w:val="none" w:sz="0" w:space="0" w:color="auto"/>
      </w:divBdr>
    </w:div>
    <w:div w:id="668020001">
      <w:bodyDiv w:val="1"/>
      <w:marLeft w:val="0"/>
      <w:marRight w:val="0"/>
      <w:marTop w:val="0"/>
      <w:marBottom w:val="0"/>
      <w:divBdr>
        <w:top w:val="none" w:sz="0" w:space="0" w:color="auto"/>
        <w:left w:val="none" w:sz="0" w:space="0" w:color="auto"/>
        <w:bottom w:val="none" w:sz="0" w:space="0" w:color="auto"/>
        <w:right w:val="none" w:sz="0" w:space="0" w:color="auto"/>
      </w:divBdr>
    </w:div>
    <w:div w:id="668676867">
      <w:bodyDiv w:val="1"/>
      <w:marLeft w:val="0"/>
      <w:marRight w:val="0"/>
      <w:marTop w:val="0"/>
      <w:marBottom w:val="0"/>
      <w:divBdr>
        <w:top w:val="none" w:sz="0" w:space="0" w:color="auto"/>
        <w:left w:val="none" w:sz="0" w:space="0" w:color="auto"/>
        <w:bottom w:val="none" w:sz="0" w:space="0" w:color="auto"/>
        <w:right w:val="none" w:sz="0" w:space="0" w:color="auto"/>
      </w:divBdr>
    </w:div>
    <w:div w:id="682367770">
      <w:bodyDiv w:val="1"/>
      <w:marLeft w:val="0"/>
      <w:marRight w:val="0"/>
      <w:marTop w:val="0"/>
      <w:marBottom w:val="0"/>
      <w:divBdr>
        <w:top w:val="none" w:sz="0" w:space="0" w:color="auto"/>
        <w:left w:val="none" w:sz="0" w:space="0" w:color="auto"/>
        <w:bottom w:val="none" w:sz="0" w:space="0" w:color="auto"/>
        <w:right w:val="none" w:sz="0" w:space="0" w:color="auto"/>
      </w:divBdr>
    </w:div>
    <w:div w:id="692539750">
      <w:bodyDiv w:val="1"/>
      <w:marLeft w:val="0"/>
      <w:marRight w:val="0"/>
      <w:marTop w:val="0"/>
      <w:marBottom w:val="0"/>
      <w:divBdr>
        <w:top w:val="none" w:sz="0" w:space="0" w:color="auto"/>
        <w:left w:val="none" w:sz="0" w:space="0" w:color="auto"/>
        <w:bottom w:val="none" w:sz="0" w:space="0" w:color="auto"/>
        <w:right w:val="none" w:sz="0" w:space="0" w:color="auto"/>
      </w:divBdr>
    </w:div>
    <w:div w:id="700278804">
      <w:bodyDiv w:val="1"/>
      <w:marLeft w:val="0"/>
      <w:marRight w:val="0"/>
      <w:marTop w:val="0"/>
      <w:marBottom w:val="0"/>
      <w:divBdr>
        <w:top w:val="none" w:sz="0" w:space="0" w:color="auto"/>
        <w:left w:val="none" w:sz="0" w:space="0" w:color="auto"/>
        <w:bottom w:val="none" w:sz="0" w:space="0" w:color="auto"/>
        <w:right w:val="none" w:sz="0" w:space="0" w:color="auto"/>
      </w:divBdr>
    </w:div>
    <w:div w:id="700784225">
      <w:bodyDiv w:val="1"/>
      <w:marLeft w:val="0"/>
      <w:marRight w:val="0"/>
      <w:marTop w:val="0"/>
      <w:marBottom w:val="0"/>
      <w:divBdr>
        <w:top w:val="none" w:sz="0" w:space="0" w:color="auto"/>
        <w:left w:val="none" w:sz="0" w:space="0" w:color="auto"/>
        <w:bottom w:val="none" w:sz="0" w:space="0" w:color="auto"/>
        <w:right w:val="none" w:sz="0" w:space="0" w:color="auto"/>
      </w:divBdr>
    </w:div>
    <w:div w:id="711803950">
      <w:bodyDiv w:val="1"/>
      <w:marLeft w:val="0"/>
      <w:marRight w:val="0"/>
      <w:marTop w:val="0"/>
      <w:marBottom w:val="0"/>
      <w:divBdr>
        <w:top w:val="none" w:sz="0" w:space="0" w:color="auto"/>
        <w:left w:val="none" w:sz="0" w:space="0" w:color="auto"/>
        <w:bottom w:val="none" w:sz="0" w:space="0" w:color="auto"/>
        <w:right w:val="none" w:sz="0" w:space="0" w:color="auto"/>
      </w:divBdr>
    </w:div>
    <w:div w:id="715129847">
      <w:bodyDiv w:val="1"/>
      <w:marLeft w:val="0"/>
      <w:marRight w:val="0"/>
      <w:marTop w:val="0"/>
      <w:marBottom w:val="0"/>
      <w:divBdr>
        <w:top w:val="none" w:sz="0" w:space="0" w:color="auto"/>
        <w:left w:val="none" w:sz="0" w:space="0" w:color="auto"/>
        <w:bottom w:val="none" w:sz="0" w:space="0" w:color="auto"/>
        <w:right w:val="none" w:sz="0" w:space="0" w:color="auto"/>
      </w:divBdr>
    </w:div>
    <w:div w:id="716205864">
      <w:bodyDiv w:val="1"/>
      <w:marLeft w:val="0"/>
      <w:marRight w:val="0"/>
      <w:marTop w:val="0"/>
      <w:marBottom w:val="0"/>
      <w:divBdr>
        <w:top w:val="none" w:sz="0" w:space="0" w:color="auto"/>
        <w:left w:val="none" w:sz="0" w:space="0" w:color="auto"/>
        <w:bottom w:val="none" w:sz="0" w:space="0" w:color="auto"/>
        <w:right w:val="none" w:sz="0" w:space="0" w:color="auto"/>
      </w:divBdr>
    </w:div>
    <w:div w:id="722405910">
      <w:bodyDiv w:val="1"/>
      <w:marLeft w:val="0"/>
      <w:marRight w:val="0"/>
      <w:marTop w:val="0"/>
      <w:marBottom w:val="0"/>
      <w:divBdr>
        <w:top w:val="none" w:sz="0" w:space="0" w:color="auto"/>
        <w:left w:val="none" w:sz="0" w:space="0" w:color="auto"/>
        <w:bottom w:val="none" w:sz="0" w:space="0" w:color="auto"/>
        <w:right w:val="none" w:sz="0" w:space="0" w:color="auto"/>
      </w:divBdr>
    </w:div>
    <w:div w:id="736785699">
      <w:bodyDiv w:val="1"/>
      <w:marLeft w:val="0"/>
      <w:marRight w:val="0"/>
      <w:marTop w:val="0"/>
      <w:marBottom w:val="0"/>
      <w:divBdr>
        <w:top w:val="none" w:sz="0" w:space="0" w:color="auto"/>
        <w:left w:val="none" w:sz="0" w:space="0" w:color="auto"/>
        <w:bottom w:val="none" w:sz="0" w:space="0" w:color="auto"/>
        <w:right w:val="none" w:sz="0" w:space="0" w:color="auto"/>
      </w:divBdr>
    </w:div>
    <w:div w:id="743768822">
      <w:bodyDiv w:val="1"/>
      <w:marLeft w:val="0"/>
      <w:marRight w:val="0"/>
      <w:marTop w:val="0"/>
      <w:marBottom w:val="0"/>
      <w:divBdr>
        <w:top w:val="none" w:sz="0" w:space="0" w:color="auto"/>
        <w:left w:val="none" w:sz="0" w:space="0" w:color="auto"/>
        <w:bottom w:val="none" w:sz="0" w:space="0" w:color="auto"/>
        <w:right w:val="none" w:sz="0" w:space="0" w:color="auto"/>
      </w:divBdr>
    </w:div>
    <w:div w:id="745034862">
      <w:bodyDiv w:val="1"/>
      <w:marLeft w:val="0"/>
      <w:marRight w:val="0"/>
      <w:marTop w:val="0"/>
      <w:marBottom w:val="0"/>
      <w:divBdr>
        <w:top w:val="none" w:sz="0" w:space="0" w:color="auto"/>
        <w:left w:val="none" w:sz="0" w:space="0" w:color="auto"/>
        <w:bottom w:val="none" w:sz="0" w:space="0" w:color="auto"/>
        <w:right w:val="none" w:sz="0" w:space="0" w:color="auto"/>
      </w:divBdr>
    </w:div>
    <w:div w:id="745492238">
      <w:bodyDiv w:val="1"/>
      <w:marLeft w:val="0"/>
      <w:marRight w:val="0"/>
      <w:marTop w:val="0"/>
      <w:marBottom w:val="0"/>
      <w:divBdr>
        <w:top w:val="none" w:sz="0" w:space="0" w:color="auto"/>
        <w:left w:val="none" w:sz="0" w:space="0" w:color="auto"/>
        <w:bottom w:val="none" w:sz="0" w:space="0" w:color="auto"/>
        <w:right w:val="none" w:sz="0" w:space="0" w:color="auto"/>
      </w:divBdr>
    </w:div>
    <w:div w:id="746655866">
      <w:bodyDiv w:val="1"/>
      <w:marLeft w:val="0"/>
      <w:marRight w:val="0"/>
      <w:marTop w:val="0"/>
      <w:marBottom w:val="0"/>
      <w:divBdr>
        <w:top w:val="none" w:sz="0" w:space="0" w:color="auto"/>
        <w:left w:val="none" w:sz="0" w:space="0" w:color="auto"/>
        <w:bottom w:val="none" w:sz="0" w:space="0" w:color="auto"/>
        <w:right w:val="none" w:sz="0" w:space="0" w:color="auto"/>
      </w:divBdr>
    </w:div>
    <w:div w:id="756252189">
      <w:bodyDiv w:val="1"/>
      <w:marLeft w:val="0"/>
      <w:marRight w:val="0"/>
      <w:marTop w:val="0"/>
      <w:marBottom w:val="0"/>
      <w:divBdr>
        <w:top w:val="none" w:sz="0" w:space="0" w:color="auto"/>
        <w:left w:val="none" w:sz="0" w:space="0" w:color="auto"/>
        <w:bottom w:val="none" w:sz="0" w:space="0" w:color="auto"/>
        <w:right w:val="none" w:sz="0" w:space="0" w:color="auto"/>
      </w:divBdr>
    </w:div>
    <w:div w:id="764543547">
      <w:bodyDiv w:val="1"/>
      <w:marLeft w:val="0"/>
      <w:marRight w:val="0"/>
      <w:marTop w:val="0"/>
      <w:marBottom w:val="0"/>
      <w:divBdr>
        <w:top w:val="none" w:sz="0" w:space="0" w:color="auto"/>
        <w:left w:val="none" w:sz="0" w:space="0" w:color="auto"/>
        <w:bottom w:val="none" w:sz="0" w:space="0" w:color="auto"/>
        <w:right w:val="none" w:sz="0" w:space="0" w:color="auto"/>
      </w:divBdr>
    </w:div>
    <w:div w:id="790245949">
      <w:bodyDiv w:val="1"/>
      <w:marLeft w:val="0"/>
      <w:marRight w:val="0"/>
      <w:marTop w:val="0"/>
      <w:marBottom w:val="0"/>
      <w:divBdr>
        <w:top w:val="none" w:sz="0" w:space="0" w:color="auto"/>
        <w:left w:val="none" w:sz="0" w:space="0" w:color="auto"/>
        <w:bottom w:val="none" w:sz="0" w:space="0" w:color="auto"/>
        <w:right w:val="none" w:sz="0" w:space="0" w:color="auto"/>
      </w:divBdr>
    </w:div>
    <w:div w:id="791024648">
      <w:bodyDiv w:val="1"/>
      <w:marLeft w:val="0"/>
      <w:marRight w:val="0"/>
      <w:marTop w:val="0"/>
      <w:marBottom w:val="0"/>
      <w:divBdr>
        <w:top w:val="none" w:sz="0" w:space="0" w:color="auto"/>
        <w:left w:val="none" w:sz="0" w:space="0" w:color="auto"/>
        <w:bottom w:val="none" w:sz="0" w:space="0" w:color="auto"/>
        <w:right w:val="none" w:sz="0" w:space="0" w:color="auto"/>
      </w:divBdr>
    </w:div>
    <w:div w:id="793445758">
      <w:bodyDiv w:val="1"/>
      <w:marLeft w:val="0"/>
      <w:marRight w:val="0"/>
      <w:marTop w:val="0"/>
      <w:marBottom w:val="0"/>
      <w:divBdr>
        <w:top w:val="none" w:sz="0" w:space="0" w:color="auto"/>
        <w:left w:val="none" w:sz="0" w:space="0" w:color="auto"/>
        <w:bottom w:val="none" w:sz="0" w:space="0" w:color="auto"/>
        <w:right w:val="none" w:sz="0" w:space="0" w:color="auto"/>
      </w:divBdr>
    </w:div>
    <w:div w:id="816845080">
      <w:bodyDiv w:val="1"/>
      <w:marLeft w:val="0"/>
      <w:marRight w:val="0"/>
      <w:marTop w:val="0"/>
      <w:marBottom w:val="0"/>
      <w:divBdr>
        <w:top w:val="none" w:sz="0" w:space="0" w:color="auto"/>
        <w:left w:val="none" w:sz="0" w:space="0" w:color="auto"/>
        <w:bottom w:val="none" w:sz="0" w:space="0" w:color="auto"/>
        <w:right w:val="none" w:sz="0" w:space="0" w:color="auto"/>
      </w:divBdr>
    </w:div>
    <w:div w:id="843595325">
      <w:bodyDiv w:val="1"/>
      <w:marLeft w:val="0"/>
      <w:marRight w:val="0"/>
      <w:marTop w:val="0"/>
      <w:marBottom w:val="0"/>
      <w:divBdr>
        <w:top w:val="none" w:sz="0" w:space="0" w:color="auto"/>
        <w:left w:val="none" w:sz="0" w:space="0" w:color="auto"/>
        <w:bottom w:val="none" w:sz="0" w:space="0" w:color="auto"/>
        <w:right w:val="none" w:sz="0" w:space="0" w:color="auto"/>
      </w:divBdr>
    </w:div>
    <w:div w:id="844636900">
      <w:bodyDiv w:val="1"/>
      <w:marLeft w:val="0"/>
      <w:marRight w:val="0"/>
      <w:marTop w:val="0"/>
      <w:marBottom w:val="0"/>
      <w:divBdr>
        <w:top w:val="none" w:sz="0" w:space="0" w:color="auto"/>
        <w:left w:val="none" w:sz="0" w:space="0" w:color="auto"/>
        <w:bottom w:val="none" w:sz="0" w:space="0" w:color="auto"/>
        <w:right w:val="none" w:sz="0" w:space="0" w:color="auto"/>
      </w:divBdr>
    </w:div>
    <w:div w:id="863056846">
      <w:bodyDiv w:val="1"/>
      <w:marLeft w:val="0"/>
      <w:marRight w:val="0"/>
      <w:marTop w:val="0"/>
      <w:marBottom w:val="0"/>
      <w:divBdr>
        <w:top w:val="none" w:sz="0" w:space="0" w:color="auto"/>
        <w:left w:val="none" w:sz="0" w:space="0" w:color="auto"/>
        <w:bottom w:val="none" w:sz="0" w:space="0" w:color="auto"/>
        <w:right w:val="none" w:sz="0" w:space="0" w:color="auto"/>
      </w:divBdr>
    </w:div>
    <w:div w:id="865676975">
      <w:bodyDiv w:val="1"/>
      <w:marLeft w:val="0"/>
      <w:marRight w:val="0"/>
      <w:marTop w:val="0"/>
      <w:marBottom w:val="0"/>
      <w:divBdr>
        <w:top w:val="none" w:sz="0" w:space="0" w:color="auto"/>
        <w:left w:val="none" w:sz="0" w:space="0" w:color="auto"/>
        <w:bottom w:val="none" w:sz="0" w:space="0" w:color="auto"/>
        <w:right w:val="none" w:sz="0" w:space="0" w:color="auto"/>
      </w:divBdr>
    </w:div>
    <w:div w:id="889266862">
      <w:bodyDiv w:val="1"/>
      <w:marLeft w:val="0"/>
      <w:marRight w:val="0"/>
      <w:marTop w:val="0"/>
      <w:marBottom w:val="0"/>
      <w:divBdr>
        <w:top w:val="none" w:sz="0" w:space="0" w:color="auto"/>
        <w:left w:val="none" w:sz="0" w:space="0" w:color="auto"/>
        <w:bottom w:val="none" w:sz="0" w:space="0" w:color="auto"/>
        <w:right w:val="none" w:sz="0" w:space="0" w:color="auto"/>
      </w:divBdr>
    </w:div>
    <w:div w:id="926353416">
      <w:bodyDiv w:val="1"/>
      <w:marLeft w:val="0"/>
      <w:marRight w:val="0"/>
      <w:marTop w:val="0"/>
      <w:marBottom w:val="0"/>
      <w:divBdr>
        <w:top w:val="none" w:sz="0" w:space="0" w:color="auto"/>
        <w:left w:val="none" w:sz="0" w:space="0" w:color="auto"/>
        <w:bottom w:val="none" w:sz="0" w:space="0" w:color="auto"/>
        <w:right w:val="none" w:sz="0" w:space="0" w:color="auto"/>
      </w:divBdr>
    </w:div>
    <w:div w:id="939490743">
      <w:bodyDiv w:val="1"/>
      <w:marLeft w:val="0"/>
      <w:marRight w:val="0"/>
      <w:marTop w:val="0"/>
      <w:marBottom w:val="0"/>
      <w:divBdr>
        <w:top w:val="none" w:sz="0" w:space="0" w:color="auto"/>
        <w:left w:val="none" w:sz="0" w:space="0" w:color="auto"/>
        <w:bottom w:val="none" w:sz="0" w:space="0" w:color="auto"/>
        <w:right w:val="none" w:sz="0" w:space="0" w:color="auto"/>
      </w:divBdr>
    </w:div>
    <w:div w:id="949363918">
      <w:bodyDiv w:val="1"/>
      <w:marLeft w:val="0"/>
      <w:marRight w:val="0"/>
      <w:marTop w:val="0"/>
      <w:marBottom w:val="0"/>
      <w:divBdr>
        <w:top w:val="none" w:sz="0" w:space="0" w:color="auto"/>
        <w:left w:val="none" w:sz="0" w:space="0" w:color="auto"/>
        <w:bottom w:val="none" w:sz="0" w:space="0" w:color="auto"/>
        <w:right w:val="none" w:sz="0" w:space="0" w:color="auto"/>
      </w:divBdr>
    </w:div>
    <w:div w:id="952400746">
      <w:bodyDiv w:val="1"/>
      <w:marLeft w:val="0"/>
      <w:marRight w:val="0"/>
      <w:marTop w:val="0"/>
      <w:marBottom w:val="0"/>
      <w:divBdr>
        <w:top w:val="none" w:sz="0" w:space="0" w:color="auto"/>
        <w:left w:val="none" w:sz="0" w:space="0" w:color="auto"/>
        <w:bottom w:val="none" w:sz="0" w:space="0" w:color="auto"/>
        <w:right w:val="none" w:sz="0" w:space="0" w:color="auto"/>
      </w:divBdr>
    </w:div>
    <w:div w:id="954101006">
      <w:bodyDiv w:val="1"/>
      <w:marLeft w:val="0"/>
      <w:marRight w:val="0"/>
      <w:marTop w:val="0"/>
      <w:marBottom w:val="0"/>
      <w:divBdr>
        <w:top w:val="none" w:sz="0" w:space="0" w:color="auto"/>
        <w:left w:val="none" w:sz="0" w:space="0" w:color="auto"/>
        <w:bottom w:val="none" w:sz="0" w:space="0" w:color="auto"/>
        <w:right w:val="none" w:sz="0" w:space="0" w:color="auto"/>
      </w:divBdr>
    </w:div>
    <w:div w:id="969938708">
      <w:bodyDiv w:val="1"/>
      <w:marLeft w:val="0"/>
      <w:marRight w:val="0"/>
      <w:marTop w:val="0"/>
      <w:marBottom w:val="0"/>
      <w:divBdr>
        <w:top w:val="none" w:sz="0" w:space="0" w:color="auto"/>
        <w:left w:val="none" w:sz="0" w:space="0" w:color="auto"/>
        <w:bottom w:val="none" w:sz="0" w:space="0" w:color="auto"/>
        <w:right w:val="none" w:sz="0" w:space="0" w:color="auto"/>
      </w:divBdr>
    </w:div>
    <w:div w:id="993527564">
      <w:bodyDiv w:val="1"/>
      <w:marLeft w:val="0"/>
      <w:marRight w:val="0"/>
      <w:marTop w:val="0"/>
      <w:marBottom w:val="0"/>
      <w:divBdr>
        <w:top w:val="none" w:sz="0" w:space="0" w:color="auto"/>
        <w:left w:val="none" w:sz="0" w:space="0" w:color="auto"/>
        <w:bottom w:val="none" w:sz="0" w:space="0" w:color="auto"/>
        <w:right w:val="none" w:sz="0" w:space="0" w:color="auto"/>
      </w:divBdr>
    </w:div>
    <w:div w:id="1007707179">
      <w:bodyDiv w:val="1"/>
      <w:marLeft w:val="0"/>
      <w:marRight w:val="0"/>
      <w:marTop w:val="0"/>
      <w:marBottom w:val="0"/>
      <w:divBdr>
        <w:top w:val="none" w:sz="0" w:space="0" w:color="auto"/>
        <w:left w:val="none" w:sz="0" w:space="0" w:color="auto"/>
        <w:bottom w:val="none" w:sz="0" w:space="0" w:color="auto"/>
        <w:right w:val="none" w:sz="0" w:space="0" w:color="auto"/>
      </w:divBdr>
    </w:div>
    <w:div w:id="1010988785">
      <w:bodyDiv w:val="1"/>
      <w:marLeft w:val="0"/>
      <w:marRight w:val="0"/>
      <w:marTop w:val="0"/>
      <w:marBottom w:val="0"/>
      <w:divBdr>
        <w:top w:val="none" w:sz="0" w:space="0" w:color="auto"/>
        <w:left w:val="none" w:sz="0" w:space="0" w:color="auto"/>
        <w:bottom w:val="none" w:sz="0" w:space="0" w:color="auto"/>
        <w:right w:val="none" w:sz="0" w:space="0" w:color="auto"/>
      </w:divBdr>
    </w:div>
    <w:div w:id="1012807028">
      <w:bodyDiv w:val="1"/>
      <w:marLeft w:val="0"/>
      <w:marRight w:val="0"/>
      <w:marTop w:val="0"/>
      <w:marBottom w:val="0"/>
      <w:divBdr>
        <w:top w:val="none" w:sz="0" w:space="0" w:color="auto"/>
        <w:left w:val="none" w:sz="0" w:space="0" w:color="auto"/>
        <w:bottom w:val="none" w:sz="0" w:space="0" w:color="auto"/>
        <w:right w:val="none" w:sz="0" w:space="0" w:color="auto"/>
      </w:divBdr>
    </w:div>
    <w:div w:id="1019889821">
      <w:bodyDiv w:val="1"/>
      <w:marLeft w:val="0"/>
      <w:marRight w:val="0"/>
      <w:marTop w:val="0"/>
      <w:marBottom w:val="0"/>
      <w:divBdr>
        <w:top w:val="none" w:sz="0" w:space="0" w:color="auto"/>
        <w:left w:val="none" w:sz="0" w:space="0" w:color="auto"/>
        <w:bottom w:val="none" w:sz="0" w:space="0" w:color="auto"/>
        <w:right w:val="none" w:sz="0" w:space="0" w:color="auto"/>
      </w:divBdr>
      <w:divsChild>
        <w:div w:id="128983474">
          <w:marLeft w:val="0"/>
          <w:marRight w:val="0"/>
          <w:marTop w:val="0"/>
          <w:marBottom w:val="0"/>
          <w:divBdr>
            <w:top w:val="none" w:sz="0" w:space="0" w:color="auto"/>
            <w:left w:val="none" w:sz="0" w:space="0" w:color="auto"/>
            <w:bottom w:val="none" w:sz="0" w:space="0" w:color="auto"/>
            <w:right w:val="none" w:sz="0" w:space="0" w:color="auto"/>
          </w:divBdr>
          <w:divsChild>
            <w:div w:id="391317077">
              <w:marLeft w:val="0"/>
              <w:marRight w:val="0"/>
              <w:marTop w:val="0"/>
              <w:marBottom w:val="0"/>
              <w:divBdr>
                <w:top w:val="none" w:sz="0" w:space="0" w:color="auto"/>
                <w:left w:val="none" w:sz="0" w:space="0" w:color="auto"/>
                <w:bottom w:val="none" w:sz="0" w:space="0" w:color="auto"/>
                <w:right w:val="none" w:sz="0" w:space="0" w:color="auto"/>
              </w:divBdr>
              <w:divsChild>
                <w:div w:id="1974826510">
                  <w:marLeft w:val="0"/>
                  <w:marRight w:val="0"/>
                  <w:marTop w:val="0"/>
                  <w:marBottom w:val="0"/>
                  <w:divBdr>
                    <w:top w:val="none" w:sz="0" w:space="0" w:color="auto"/>
                    <w:left w:val="none" w:sz="0" w:space="0" w:color="auto"/>
                    <w:bottom w:val="none" w:sz="0" w:space="0" w:color="auto"/>
                    <w:right w:val="none" w:sz="0" w:space="0" w:color="auto"/>
                  </w:divBdr>
                  <w:divsChild>
                    <w:div w:id="1075739056">
                      <w:marLeft w:val="0"/>
                      <w:marRight w:val="0"/>
                      <w:marTop w:val="0"/>
                      <w:marBottom w:val="0"/>
                      <w:divBdr>
                        <w:top w:val="none" w:sz="0" w:space="0" w:color="auto"/>
                        <w:left w:val="none" w:sz="0" w:space="0" w:color="auto"/>
                        <w:bottom w:val="none" w:sz="0" w:space="0" w:color="auto"/>
                        <w:right w:val="none" w:sz="0" w:space="0" w:color="auto"/>
                      </w:divBdr>
                      <w:divsChild>
                        <w:div w:id="514614344">
                          <w:marLeft w:val="-225"/>
                          <w:marRight w:val="-225"/>
                          <w:marTop w:val="0"/>
                          <w:marBottom w:val="0"/>
                          <w:divBdr>
                            <w:top w:val="none" w:sz="0" w:space="0" w:color="auto"/>
                            <w:left w:val="none" w:sz="0" w:space="0" w:color="auto"/>
                            <w:bottom w:val="none" w:sz="0" w:space="0" w:color="auto"/>
                            <w:right w:val="none" w:sz="0" w:space="0" w:color="auto"/>
                          </w:divBdr>
                          <w:divsChild>
                            <w:div w:id="67176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5738621">
      <w:bodyDiv w:val="1"/>
      <w:marLeft w:val="0"/>
      <w:marRight w:val="0"/>
      <w:marTop w:val="0"/>
      <w:marBottom w:val="0"/>
      <w:divBdr>
        <w:top w:val="none" w:sz="0" w:space="0" w:color="auto"/>
        <w:left w:val="none" w:sz="0" w:space="0" w:color="auto"/>
        <w:bottom w:val="none" w:sz="0" w:space="0" w:color="auto"/>
        <w:right w:val="none" w:sz="0" w:space="0" w:color="auto"/>
      </w:divBdr>
    </w:div>
    <w:div w:id="1051269146">
      <w:bodyDiv w:val="1"/>
      <w:marLeft w:val="0"/>
      <w:marRight w:val="0"/>
      <w:marTop w:val="0"/>
      <w:marBottom w:val="0"/>
      <w:divBdr>
        <w:top w:val="none" w:sz="0" w:space="0" w:color="auto"/>
        <w:left w:val="none" w:sz="0" w:space="0" w:color="auto"/>
        <w:bottom w:val="none" w:sz="0" w:space="0" w:color="auto"/>
        <w:right w:val="none" w:sz="0" w:space="0" w:color="auto"/>
      </w:divBdr>
    </w:div>
    <w:div w:id="1056584168">
      <w:bodyDiv w:val="1"/>
      <w:marLeft w:val="0"/>
      <w:marRight w:val="0"/>
      <w:marTop w:val="0"/>
      <w:marBottom w:val="0"/>
      <w:divBdr>
        <w:top w:val="none" w:sz="0" w:space="0" w:color="auto"/>
        <w:left w:val="none" w:sz="0" w:space="0" w:color="auto"/>
        <w:bottom w:val="none" w:sz="0" w:space="0" w:color="auto"/>
        <w:right w:val="none" w:sz="0" w:space="0" w:color="auto"/>
      </w:divBdr>
    </w:div>
    <w:div w:id="1059552832">
      <w:bodyDiv w:val="1"/>
      <w:marLeft w:val="0"/>
      <w:marRight w:val="0"/>
      <w:marTop w:val="0"/>
      <w:marBottom w:val="0"/>
      <w:divBdr>
        <w:top w:val="none" w:sz="0" w:space="0" w:color="auto"/>
        <w:left w:val="none" w:sz="0" w:space="0" w:color="auto"/>
        <w:bottom w:val="none" w:sz="0" w:space="0" w:color="auto"/>
        <w:right w:val="none" w:sz="0" w:space="0" w:color="auto"/>
      </w:divBdr>
    </w:div>
    <w:div w:id="1072584874">
      <w:bodyDiv w:val="1"/>
      <w:marLeft w:val="0"/>
      <w:marRight w:val="0"/>
      <w:marTop w:val="0"/>
      <w:marBottom w:val="0"/>
      <w:divBdr>
        <w:top w:val="none" w:sz="0" w:space="0" w:color="auto"/>
        <w:left w:val="none" w:sz="0" w:space="0" w:color="auto"/>
        <w:bottom w:val="none" w:sz="0" w:space="0" w:color="auto"/>
        <w:right w:val="none" w:sz="0" w:space="0" w:color="auto"/>
      </w:divBdr>
    </w:div>
    <w:div w:id="1073311068">
      <w:bodyDiv w:val="1"/>
      <w:marLeft w:val="0"/>
      <w:marRight w:val="0"/>
      <w:marTop w:val="0"/>
      <w:marBottom w:val="0"/>
      <w:divBdr>
        <w:top w:val="none" w:sz="0" w:space="0" w:color="auto"/>
        <w:left w:val="none" w:sz="0" w:space="0" w:color="auto"/>
        <w:bottom w:val="none" w:sz="0" w:space="0" w:color="auto"/>
        <w:right w:val="none" w:sz="0" w:space="0" w:color="auto"/>
      </w:divBdr>
    </w:div>
    <w:div w:id="1080099530">
      <w:bodyDiv w:val="1"/>
      <w:marLeft w:val="0"/>
      <w:marRight w:val="0"/>
      <w:marTop w:val="0"/>
      <w:marBottom w:val="0"/>
      <w:divBdr>
        <w:top w:val="none" w:sz="0" w:space="0" w:color="auto"/>
        <w:left w:val="none" w:sz="0" w:space="0" w:color="auto"/>
        <w:bottom w:val="none" w:sz="0" w:space="0" w:color="auto"/>
        <w:right w:val="none" w:sz="0" w:space="0" w:color="auto"/>
      </w:divBdr>
    </w:div>
    <w:div w:id="1080560519">
      <w:bodyDiv w:val="1"/>
      <w:marLeft w:val="0"/>
      <w:marRight w:val="0"/>
      <w:marTop w:val="0"/>
      <w:marBottom w:val="0"/>
      <w:divBdr>
        <w:top w:val="none" w:sz="0" w:space="0" w:color="auto"/>
        <w:left w:val="none" w:sz="0" w:space="0" w:color="auto"/>
        <w:bottom w:val="none" w:sz="0" w:space="0" w:color="auto"/>
        <w:right w:val="none" w:sz="0" w:space="0" w:color="auto"/>
      </w:divBdr>
    </w:div>
    <w:div w:id="1101532464">
      <w:bodyDiv w:val="1"/>
      <w:marLeft w:val="0"/>
      <w:marRight w:val="0"/>
      <w:marTop w:val="0"/>
      <w:marBottom w:val="0"/>
      <w:divBdr>
        <w:top w:val="none" w:sz="0" w:space="0" w:color="auto"/>
        <w:left w:val="none" w:sz="0" w:space="0" w:color="auto"/>
        <w:bottom w:val="none" w:sz="0" w:space="0" w:color="auto"/>
        <w:right w:val="none" w:sz="0" w:space="0" w:color="auto"/>
      </w:divBdr>
    </w:div>
    <w:div w:id="1115978715">
      <w:bodyDiv w:val="1"/>
      <w:marLeft w:val="0"/>
      <w:marRight w:val="0"/>
      <w:marTop w:val="0"/>
      <w:marBottom w:val="0"/>
      <w:divBdr>
        <w:top w:val="none" w:sz="0" w:space="0" w:color="auto"/>
        <w:left w:val="none" w:sz="0" w:space="0" w:color="auto"/>
        <w:bottom w:val="none" w:sz="0" w:space="0" w:color="auto"/>
        <w:right w:val="none" w:sz="0" w:space="0" w:color="auto"/>
      </w:divBdr>
    </w:div>
    <w:div w:id="1128623506">
      <w:bodyDiv w:val="1"/>
      <w:marLeft w:val="0"/>
      <w:marRight w:val="0"/>
      <w:marTop w:val="0"/>
      <w:marBottom w:val="0"/>
      <w:divBdr>
        <w:top w:val="none" w:sz="0" w:space="0" w:color="auto"/>
        <w:left w:val="none" w:sz="0" w:space="0" w:color="auto"/>
        <w:bottom w:val="none" w:sz="0" w:space="0" w:color="auto"/>
        <w:right w:val="none" w:sz="0" w:space="0" w:color="auto"/>
      </w:divBdr>
      <w:divsChild>
        <w:div w:id="1655064055">
          <w:marLeft w:val="187"/>
          <w:marRight w:val="0"/>
          <w:marTop w:val="0"/>
          <w:marBottom w:val="0"/>
          <w:divBdr>
            <w:top w:val="none" w:sz="0" w:space="0" w:color="auto"/>
            <w:left w:val="none" w:sz="0" w:space="0" w:color="auto"/>
            <w:bottom w:val="none" w:sz="0" w:space="0" w:color="auto"/>
            <w:right w:val="none" w:sz="0" w:space="0" w:color="auto"/>
          </w:divBdr>
        </w:div>
      </w:divsChild>
    </w:div>
    <w:div w:id="1146315385">
      <w:bodyDiv w:val="1"/>
      <w:marLeft w:val="0"/>
      <w:marRight w:val="0"/>
      <w:marTop w:val="0"/>
      <w:marBottom w:val="0"/>
      <w:divBdr>
        <w:top w:val="none" w:sz="0" w:space="0" w:color="auto"/>
        <w:left w:val="none" w:sz="0" w:space="0" w:color="auto"/>
        <w:bottom w:val="none" w:sz="0" w:space="0" w:color="auto"/>
        <w:right w:val="none" w:sz="0" w:space="0" w:color="auto"/>
      </w:divBdr>
    </w:div>
    <w:div w:id="1166631672">
      <w:bodyDiv w:val="1"/>
      <w:marLeft w:val="0"/>
      <w:marRight w:val="0"/>
      <w:marTop w:val="0"/>
      <w:marBottom w:val="0"/>
      <w:divBdr>
        <w:top w:val="none" w:sz="0" w:space="0" w:color="auto"/>
        <w:left w:val="none" w:sz="0" w:space="0" w:color="auto"/>
        <w:bottom w:val="none" w:sz="0" w:space="0" w:color="auto"/>
        <w:right w:val="none" w:sz="0" w:space="0" w:color="auto"/>
      </w:divBdr>
    </w:div>
    <w:div w:id="1192450328">
      <w:bodyDiv w:val="1"/>
      <w:marLeft w:val="0"/>
      <w:marRight w:val="0"/>
      <w:marTop w:val="0"/>
      <w:marBottom w:val="0"/>
      <w:divBdr>
        <w:top w:val="none" w:sz="0" w:space="0" w:color="auto"/>
        <w:left w:val="none" w:sz="0" w:space="0" w:color="auto"/>
        <w:bottom w:val="none" w:sz="0" w:space="0" w:color="auto"/>
        <w:right w:val="none" w:sz="0" w:space="0" w:color="auto"/>
      </w:divBdr>
    </w:div>
    <w:div w:id="1209610371">
      <w:bodyDiv w:val="1"/>
      <w:marLeft w:val="0"/>
      <w:marRight w:val="0"/>
      <w:marTop w:val="0"/>
      <w:marBottom w:val="0"/>
      <w:divBdr>
        <w:top w:val="none" w:sz="0" w:space="0" w:color="auto"/>
        <w:left w:val="none" w:sz="0" w:space="0" w:color="auto"/>
        <w:bottom w:val="none" w:sz="0" w:space="0" w:color="auto"/>
        <w:right w:val="none" w:sz="0" w:space="0" w:color="auto"/>
      </w:divBdr>
    </w:div>
    <w:div w:id="1266383590">
      <w:bodyDiv w:val="1"/>
      <w:marLeft w:val="0"/>
      <w:marRight w:val="0"/>
      <w:marTop w:val="0"/>
      <w:marBottom w:val="0"/>
      <w:divBdr>
        <w:top w:val="none" w:sz="0" w:space="0" w:color="auto"/>
        <w:left w:val="none" w:sz="0" w:space="0" w:color="auto"/>
        <w:bottom w:val="none" w:sz="0" w:space="0" w:color="auto"/>
        <w:right w:val="none" w:sz="0" w:space="0" w:color="auto"/>
      </w:divBdr>
    </w:div>
    <w:div w:id="1267888242">
      <w:bodyDiv w:val="1"/>
      <w:marLeft w:val="0"/>
      <w:marRight w:val="0"/>
      <w:marTop w:val="0"/>
      <w:marBottom w:val="0"/>
      <w:divBdr>
        <w:top w:val="none" w:sz="0" w:space="0" w:color="auto"/>
        <w:left w:val="none" w:sz="0" w:space="0" w:color="auto"/>
        <w:bottom w:val="none" w:sz="0" w:space="0" w:color="auto"/>
        <w:right w:val="none" w:sz="0" w:space="0" w:color="auto"/>
      </w:divBdr>
    </w:div>
    <w:div w:id="1271081631">
      <w:bodyDiv w:val="1"/>
      <w:marLeft w:val="0"/>
      <w:marRight w:val="0"/>
      <w:marTop w:val="0"/>
      <w:marBottom w:val="0"/>
      <w:divBdr>
        <w:top w:val="none" w:sz="0" w:space="0" w:color="auto"/>
        <w:left w:val="none" w:sz="0" w:space="0" w:color="auto"/>
        <w:bottom w:val="none" w:sz="0" w:space="0" w:color="auto"/>
        <w:right w:val="none" w:sz="0" w:space="0" w:color="auto"/>
      </w:divBdr>
    </w:div>
    <w:div w:id="1283800416">
      <w:bodyDiv w:val="1"/>
      <w:marLeft w:val="0"/>
      <w:marRight w:val="0"/>
      <w:marTop w:val="0"/>
      <w:marBottom w:val="0"/>
      <w:divBdr>
        <w:top w:val="none" w:sz="0" w:space="0" w:color="auto"/>
        <w:left w:val="none" w:sz="0" w:space="0" w:color="auto"/>
        <w:bottom w:val="none" w:sz="0" w:space="0" w:color="auto"/>
        <w:right w:val="none" w:sz="0" w:space="0" w:color="auto"/>
      </w:divBdr>
    </w:div>
    <w:div w:id="1291285968">
      <w:bodyDiv w:val="1"/>
      <w:marLeft w:val="0"/>
      <w:marRight w:val="0"/>
      <w:marTop w:val="0"/>
      <w:marBottom w:val="0"/>
      <w:divBdr>
        <w:top w:val="none" w:sz="0" w:space="0" w:color="auto"/>
        <w:left w:val="none" w:sz="0" w:space="0" w:color="auto"/>
        <w:bottom w:val="none" w:sz="0" w:space="0" w:color="auto"/>
        <w:right w:val="none" w:sz="0" w:space="0" w:color="auto"/>
      </w:divBdr>
    </w:div>
    <w:div w:id="1306199116">
      <w:bodyDiv w:val="1"/>
      <w:marLeft w:val="0"/>
      <w:marRight w:val="0"/>
      <w:marTop w:val="0"/>
      <w:marBottom w:val="0"/>
      <w:divBdr>
        <w:top w:val="none" w:sz="0" w:space="0" w:color="auto"/>
        <w:left w:val="none" w:sz="0" w:space="0" w:color="auto"/>
        <w:bottom w:val="none" w:sz="0" w:space="0" w:color="auto"/>
        <w:right w:val="none" w:sz="0" w:space="0" w:color="auto"/>
      </w:divBdr>
    </w:div>
    <w:div w:id="1307975114">
      <w:bodyDiv w:val="1"/>
      <w:marLeft w:val="0"/>
      <w:marRight w:val="0"/>
      <w:marTop w:val="0"/>
      <w:marBottom w:val="0"/>
      <w:divBdr>
        <w:top w:val="none" w:sz="0" w:space="0" w:color="auto"/>
        <w:left w:val="none" w:sz="0" w:space="0" w:color="auto"/>
        <w:bottom w:val="none" w:sz="0" w:space="0" w:color="auto"/>
        <w:right w:val="none" w:sz="0" w:space="0" w:color="auto"/>
      </w:divBdr>
    </w:div>
    <w:div w:id="1312099704">
      <w:bodyDiv w:val="1"/>
      <w:marLeft w:val="0"/>
      <w:marRight w:val="0"/>
      <w:marTop w:val="0"/>
      <w:marBottom w:val="0"/>
      <w:divBdr>
        <w:top w:val="none" w:sz="0" w:space="0" w:color="auto"/>
        <w:left w:val="none" w:sz="0" w:space="0" w:color="auto"/>
        <w:bottom w:val="none" w:sz="0" w:space="0" w:color="auto"/>
        <w:right w:val="none" w:sz="0" w:space="0" w:color="auto"/>
      </w:divBdr>
    </w:div>
    <w:div w:id="1342708518">
      <w:bodyDiv w:val="1"/>
      <w:marLeft w:val="0"/>
      <w:marRight w:val="0"/>
      <w:marTop w:val="0"/>
      <w:marBottom w:val="0"/>
      <w:divBdr>
        <w:top w:val="none" w:sz="0" w:space="0" w:color="auto"/>
        <w:left w:val="none" w:sz="0" w:space="0" w:color="auto"/>
        <w:bottom w:val="none" w:sz="0" w:space="0" w:color="auto"/>
        <w:right w:val="none" w:sz="0" w:space="0" w:color="auto"/>
      </w:divBdr>
    </w:div>
    <w:div w:id="1347485725">
      <w:bodyDiv w:val="1"/>
      <w:marLeft w:val="0"/>
      <w:marRight w:val="0"/>
      <w:marTop w:val="0"/>
      <w:marBottom w:val="0"/>
      <w:divBdr>
        <w:top w:val="none" w:sz="0" w:space="0" w:color="auto"/>
        <w:left w:val="none" w:sz="0" w:space="0" w:color="auto"/>
        <w:bottom w:val="none" w:sz="0" w:space="0" w:color="auto"/>
        <w:right w:val="none" w:sz="0" w:space="0" w:color="auto"/>
      </w:divBdr>
    </w:div>
    <w:div w:id="1352029361">
      <w:bodyDiv w:val="1"/>
      <w:marLeft w:val="0"/>
      <w:marRight w:val="0"/>
      <w:marTop w:val="0"/>
      <w:marBottom w:val="0"/>
      <w:divBdr>
        <w:top w:val="none" w:sz="0" w:space="0" w:color="auto"/>
        <w:left w:val="none" w:sz="0" w:space="0" w:color="auto"/>
        <w:bottom w:val="none" w:sz="0" w:space="0" w:color="auto"/>
        <w:right w:val="none" w:sz="0" w:space="0" w:color="auto"/>
      </w:divBdr>
    </w:div>
    <w:div w:id="1357004237">
      <w:bodyDiv w:val="1"/>
      <w:marLeft w:val="0"/>
      <w:marRight w:val="0"/>
      <w:marTop w:val="0"/>
      <w:marBottom w:val="0"/>
      <w:divBdr>
        <w:top w:val="none" w:sz="0" w:space="0" w:color="auto"/>
        <w:left w:val="none" w:sz="0" w:space="0" w:color="auto"/>
        <w:bottom w:val="none" w:sz="0" w:space="0" w:color="auto"/>
        <w:right w:val="none" w:sz="0" w:space="0" w:color="auto"/>
      </w:divBdr>
    </w:div>
    <w:div w:id="1359160785">
      <w:bodyDiv w:val="1"/>
      <w:marLeft w:val="0"/>
      <w:marRight w:val="0"/>
      <w:marTop w:val="0"/>
      <w:marBottom w:val="0"/>
      <w:divBdr>
        <w:top w:val="none" w:sz="0" w:space="0" w:color="auto"/>
        <w:left w:val="none" w:sz="0" w:space="0" w:color="auto"/>
        <w:bottom w:val="none" w:sz="0" w:space="0" w:color="auto"/>
        <w:right w:val="none" w:sz="0" w:space="0" w:color="auto"/>
      </w:divBdr>
    </w:div>
    <w:div w:id="1362823392">
      <w:bodyDiv w:val="1"/>
      <w:marLeft w:val="0"/>
      <w:marRight w:val="0"/>
      <w:marTop w:val="0"/>
      <w:marBottom w:val="0"/>
      <w:divBdr>
        <w:top w:val="none" w:sz="0" w:space="0" w:color="auto"/>
        <w:left w:val="none" w:sz="0" w:space="0" w:color="auto"/>
        <w:bottom w:val="none" w:sz="0" w:space="0" w:color="auto"/>
        <w:right w:val="none" w:sz="0" w:space="0" w:color="auto"/>
      </w:divBdr>
    </w:div>
    <w:div w:id="1418552293">
      <w:bodyDiv w:val="1"/>
      <w:marLeft w:val="0"/>
      <w:marRight w:val="0"/>
      <w:marTop w:val="0"/>
      <w:marBottom w:val="0"/>
      <w:divBdr>
        <w:top w:val="none" w:sz="0" w:space="0" w:color="auto"/>
        <w:left w:val="none" w:sz="0" w:space="0" w:color="auto"/>
        <w:bottom w:val="none" w:sz="0" w:space="0" w:color="auto"/>
        <w:right w:val="none" w:sz="0" w:space="0" w:color="auto"/>
      </w:divBdr>
    </w:div>
    <w:div w:id="1436053678">
      <w:bodyDiv w:val="1"/>
      <w:marLeft w:val="0"/>
      <w:marRight w:val="0"/>
      <w:marTop w:val="0"/>
      <w:marBottom w:val="0"/>
      <w:divBdr>
        <w:top w:val="none" w:sz="0" w:space="0" w:color="auto"/>
        <w:left w:val="none" w:sz="0" w:space="0" w:color="auto"/>
        <w:bottom w:val="none" w:sz="0" w:space="0" w:color="auto"/>
        <w:right w:val="none" w:sz="0" w:space="0" w:color="auto"/>
      </w:divBdr>
    </w:div>
    <w:div w:id="1451120167">
      <w:bodyDiv w:val="1"/>
      <w:marLeft w:val="0"/>
      <w:marRight w:val="0"/>
      <w:marTop w:val="0"/>
      <w:marBottom w:val="0"/>
      <w:divBdr>
        <w:top w:val="none" w:sz="0" w:space="0" w:color="auto"/>
        <w:left w:val="none" w:sz="0" w:space="0" w:color="auto"/>
        <w:bottom w:val="none" w:sz="0" w:space="0" w:color="auto"/>
        <w:right w:val="none" w:sz="0" w:space="0" w:color="auto"/>
      </w:divBdr>
    </w:div>
    <w:div w:id="1464470644">
      <w:bodyDiv w:val="1"/>
      <w:marLeft w:val="0"/>
      <w:marRight w:val="0"/>
      <w:marTop w:val="0"/>
      <w:marBottom w:val="0"/>
      <w:divBdr>
        <w:top w:val="none" w:sz="0" w:space="0" w:color="auto"/>
        <w:left w:val="none" w:sz="0" w:space="0" w:color="auto"/>
        <w:bottom w:val="none" w:sz="0" w:space="0" w:color="auto"/>
        <w:right w:val="none" w:sz="0" w:space="0" w:color="auto"/>
      </w:divBdr>
    </w:div>
    <w:div w:id="1468083287">
      <w:bodyDiv w:val="1"/>
      <w:marLeft w:val="0"/>
      <w:marRight w:val="0"/>
      <w:marTop w:val="0"/>
      <w:marBottom w:val="0"/>
      <w:divBdr>
        <w:top w:val="none" w:sz="0" w:space="0" w:color="auto"/>
        <w:left w:val="none" w:sz="0" w:space="0" w:color="auto"/>
        <w:bottom w:val="none" w:sz="0" w:space="0" w:color="auto"/>
        <w:right w:val="none" w:sz="0" w:space="0" w:color="auto"/>
      </w:divBdr>
    </w:div>
    <w:div w:id="1493450437">
      <w:bodyDiv w:val="1"/>
      <w:marLeft w:val="0"/>
      <w:marRight w:val="0"/>
      <w:marTop w:val="0"/>
      <w:marBottom w:val="0"/>
      <w:divBdr>
        <w:top w:val="none" w:sz="0" w:space="0" w:color="auto"/>
        <w:left w:val="none" w:sz="0" w:space="0" w:color="auto"/>
        <w:bottom w:val="none" w:sz="0" w:space="0" w:color="auto"/>
        <w:right w:val="none" w:sz="0" w:space="0" w:color="auto"/>
      </w:divBdr>
    </w:div>
    <w:div w:id="1494443704">
      <w:bodyDiv w:val="1"/>
      <w:marLeft w:val="0"/>
      <w:marRight w:val="0"/>
      <w:marTop w:val="0"/>
      <w:marBottom w:val="0"/>
      <w:divBdr>
        <w:top w:val="none" w:sz="0" w:space="0" w:color="auto"/>
        <w:left w:val="none" w:sz="0" w:space="0" w:color="auto"/>
        <w:bottom w:val="none" w:sz="0" w:space="0" w:color="auto"/>
        <w:right w:val="none" w:sz="0" w:space="0" w:color="auto"/>
      </w:divBdr>
    </w:div>
    <w:div w:id="1500736164">
      <w:bodyDiv w:val="1"/>
      <w:marLeft w:val="0"/>
      <w:marRight w:val="0"/>
      <w:marTop w:val="0"/>
      <w:marBottom w:val="0"/>
      <w:divBdr>
        <w:top w:val="none" w:sz="0" w:space="0" w:color="auto"/>
        <w:left w:val="none" w:sz="0" w:space="0" w:color="auto"/>
        <w:bottom w:val="none" w:sz="0" w:space="0" w:color="auto"/>
        <w:right w:val="none" w:sz="0" w:space="0" w:color="auto"/>
      </w:divBdr>
    </w:div>
    <w:div w:id="1519393928">
      <w:bodyDiv w:val="1"/>
      <w:marLeft w:val="0"/>
      <w:marRight w:val="0"/>
      <w:marTop w:val="0"/>
      <w:marBottom w:val="0"/>
      <w:divBdr>
        <w:top w:val="none" w:sz="0" w:space="0" w:color="auto"/>
        <w:left w:val="none" w:sz="0" w:space="0" w:color="auto"/>
        <w:bottom w:val="none" w:sz="0" w:space="0" w:color="auto"/>
        <w:right w:val="none" w:sz="0" w:space="0" w:color="auto"/>
      </w:divBdr>
    </w:div>
    <w:div w:id="1526476496">
      <w:bodyDiv w:val="1"/>
      <w:marLeft w:val="0"/>
      <w:marRight w:val="0"/>
      <w:marTop w:val="0"/>
      <w:marBottom w:val="0"/>
      <w:divBdr>
        <w:top w:val="none" w:sz="0" w:space="0" w:color="auto"/>
        <w:left w:val="none" w:sz="0" w:space="0" w:color="auto"/>
        <w:bottom w:val="none" w:sz="0" w:space="0" w:color="auto"/>
        <w:right w:val="none" w:sz="0" w:space="0" w:color="auto"/>
      </w:divBdr>
    </w:div>
    <w:div w:id="1538735641">
      <w:bodyDiv w:val="1"/>
      <w:marLeft w:val="0"/>
      <w:marRight w:val="0"/>
      <w:marTop w:val="0"/>
      <w:marBottom w:val="0"/>
      <w:divBdr>
        <w:top w:val="none" w:sz="0" w:space="0" w:color="auto"/>
        <w:left w:val="none" w:sz="0" w:space="0" w:color="auto"/>
        <w:bottom w:val="none" w:sz="0" w:space="0" w:color="auto"/>
        <w:right w:val="none" w:sz="0" w:space="0" w:color="auto"/>
      </w:divBdr>
    </w:div>
    <w:div w:id="1539968565">
      <w:bodyDiv w:val="1"/>
      <w:marLeft w:val="0"/>
      <w:marRight w:val="0"/>
      <w:marTop w:val="0"/>
      <w:marBottom w:val="0"/>
      <w:divBdr>
        <w:top w:val="none" w:sz="0" w:space="0" w:color="auto"/>
        <w:left w:val="none" w:sz="0" w:space="0" w:color="auto"/>
        <w:bottom w:val="none" w:sz="0" w:space="0" w:color="auto"/>
        <w:right w:val="none" w:sz="0" w:space="0" w:color="auto"/>
      </w:divBdr>
    </w:div>
    <w:div w:id="1565917633">
      <w:bodyDiv w:val="1"/>
      <w:marLeft w:val="0"/>
      <w:marRight w:val="0"/>
      <w:marTop w:val="0"/>
      <w:marBottom w:val="0"/>
      <w:divBdr>
        <w:top w:val="none" w:sz="0" w:space="0" w:color="auto"/>
        <w:left w:val="none" w:sz="0" w:space="0" w:color="auto"/>
        <w:bottom w:val="none" w:sz="0" w:space="0" w:color="auto"/>
        <w:right w:val="none" w:sz="0" w:space="0" w:color="auto"/>
      </w:divBdr>
    </w:div>
    <w:div w:id="1570336641">
      <w:bodyDiv w:val="1"/>
      <w:marLeft w:val="0"/>
      <w:marRight w:val="0"/>
      <w:marTop w:val="0"/>
      <w:marBottom w:val="0"/>
      <w:divBdr>
        <w:top w:val="none" w:sz="0" w:space="0" w:color="auto"/>
        <w:left w:val="none" w:sz="0" w:space="0" w:color="auto"/>
        <w:bottom w:val="none" w:sz="0" w:space="0" w:color="auto"/>
        <w:right w:val="none" w:sz="0" w:space="0" w:color="auto"/>
      </w:divBdr>
    </w:div>
    <w:div w:id="1575437057">
      <w:bodyDiv w:val="1"/>
      <w:marLeft w:val="0"/>
      <w:marRight w:val="0"/>
      <w:marTop w:val="0"/>
      <w:marBottom w:val="0"/>
      <w:divBdr>
        <w:top w:val="none" w:sz="0" w:space="0" w:color="auto"/>
        <w:left w:val="none" w:sz="0" w:space="0" w:color="auto"/>
        <w:bottom w:val="none" w:sz="0" w:space="0" w:color="auto"/>
        <w:right w:val="none" w:sz="0" w:space="0" w:color="auto"/>
      </w:divBdr>
    </w:div>
    <w:div w:id="1578708662">
      <w:bodyDiv w:val="1"/>
      <w:marLeft w:val="0"/>
      <w:marRight w:val="0"/>
      <w:marTop w:val="0"/>
      <w:marBottom w:val="0"/>
      <w:divBdr>
        <w:top w:val="none" w:sz="0" w:space="0" w:color="auto"/>
        <w:left w:val="none" w:sz="0" w:space="0" w:color="auto"/>
        <w:bottom w:val="none" w:sz="0" w:space="0" w:color="auto"/>
        <w:right w:val="none" w:sz="0" w:space="0" w:color="auto"/>
      </w:divBdr>
    </w:div>
    <w:div w:id="1590234023">
      <w:bodyDiv w:val="1"/>
      <w:marLeft w:val="0"/>
      <w:marRight w:val="0"/>
      <w:marTop w:val="0"/>
      <w:marBottom w:val="0"/>
      <w:divBdr>
        <w:top w:val="none" w:sz="0" w:space="0" w:color="auto"/>
        <w:left w:val="none" w:sz="0" w:space="0" w:color="auto"/>
        <w:bottom w:val="none" w:sz="0" w:space="0" w:color="auto"/>
        <w:right w:val="none" w:sz="0" w:space="0" w:color="auto"/>
      </w:divBdr>
    </w:div>
    <w:div w:id="1591814164">
      <w:bodyDiv w:val="1"/>
      <w:marLeft w:val="0"/>
      <w:marRight w:val="0"/>
      <w:marTop w:val="0"/>
      <w:marBottom w:val="0"/>
      <w:divBdr>
        <w:top w:val="none" w:sz="0" w:space="0" w:color="auto"/>
        <w:left w:val="none" w:sz="0" w:space="0" w:color="auto"/>
        <w:bottom w:val="none" w:sz="0" w:space="0" w:color="auto"/>
        <w:right w:val="none" w:sz="0" w:space="0" w:color="auto"/>
      </w:divBdr>
    </w:div>
    <w:div w:id="1597981931">
      <w:bodyDiv w:val="1"/>
      <w:marLeft w:val="0"/>
      <w:marRight w:val="0"/>
      <w:marTop w:val="0"/>
      <w:marBottom w:val="0"/>
      <w:divBdr>
        <w:top w:val="none" w:sz="0" w:space="0" w:color="auto"/>
        <w:left w:val="none" w:sz="0" w:space="0" w:color="auto"/>
        <w:bottom w:val="none" w:sz="0" w:space="0" w:color="auto"/>
        <w:right w:val="none" w:sz="0" w:space="0" w:color="auto"/>
      </w:divBdr>
      <w:divsChild>
        <w:div w:id="102195707">
          <w:marLeft w:val="0"/>
          <w:marRight w:val="0"/>
          <w:marTop w:val="0"/>
          <w:marBottom w:val="0"/>
          <w:divBdr>
            <w:top w:val="none" w:sz="0" w:space="0" w:color="auto"/>
            <w:left w:val="none" w:sz="0" w:space="0" w:color="auto"/>
            <w:bottom w:val="none" w:sz="0" w:space="0" w:color="auto"/>
            <w:right w:val="none" w:sz="0" w:space="0" w:color="auto"/>
          </w:divBdr>
        </w:div>
      </w:divsChild>
    </w:div>
    <w:div w:id="1621717943">
      <w:bodyDiv w:val="1"/>
      <w:marLeft w:val="0"/>
      <w:marRight w:val="0"/>
      <w:marTop w:val="0"/>
      <w:marBottom w:val="0"/>
      <w:divBdr>
        <w:top w:val="none" w:sz="0" w:space="0" w:color="auto"/>
        <w:left w:val="none" w:sz="0" w:space="0" w:color="auto"/>
        <w:bottom w:val="none" w:sz="0" w:space="0" w:color="auto"/>
        <w:right w:val="none" w:sz="0" w:space="0" w:color="auto"/>
      </w:divBdr>
    </w:div>
    <w:div w:id="1629438027">
      <w:bodyDiv w:val="1"/>
      <w:marLeft w:val="0"/>
      <w:marRight w:val="0"/>
      <w:marTop w:val="0"/>
      <w:marBottom w:val="0"/>
      <w:divBdr>
        <w:top w:val="none" w:sz="0" w:space="0" w:color="auto"/>
        <w:left w:val="none" w:sz="0" w:space="0" w:color="auto"/>
        <w:bottom w:val="none" w:sz="0" w:space="0" w:color="auto"/>
        <w:right w:val="none" w:sz="0" w:space="0" w:color="auto"/>
      </w:divBdr>
    </w:div>
    <w:div w:id="1629974813">
      <w:bodyDiv w:val="1"/>
      <w:marLeft w:val="0"/>
      <w:marRight w:val="0"/>
      <w:marTop w:val="0"/>
      <w:marBottom w:val="0"/>
      <w:divBdr>
        <w:top w:val="none" w:sz="0" w:space="0" w:color="auto"/>
        <w:left w:val="none" w:sz="0" w:space="0" w:color="auto"/>
        <w:bottom w:val="none" w:sz="0" w:space="0" w:color="auto"/>
        <w:right w:val="none" w:sz="0" w:space="0" w:color="auto"/>
      </w:divBdr>
    </w:div>
    <w:div w:id="1630042295">
      <w:bodyDiv w:val="1"/>
      <w:marLeft w:val="0"/>
      <w:marRight w:val="0"/>
      <w:marTop w:val="0"/>
      <w:marBottom w:val="0"/>
      <w:divBdr>
        <w:top w:val="none" w:sz="0" w:space="0" w:color="auto"/>
        <w:left w:val="none" w:sz="0" w:space="0" w:color="auto"/>
        <w:bottom w:val="none" w:sz="0" w:space="0" w:color="auto"/>
        <w:right w:val="none" w:sz="0" w:space="0" w:color="auto"/>
      </w:divBdr>
    </w:div>
    <w:div w:id="1634602877">
      <w:bodyDiv w:val="1"/>
      <w:marLeft w:val="0"/>
      <w:marRight w:val="0"/>
      <w:marTop w:val="0"/>
      <w:marBottom w:val="0"/>
      <w:divBdr>
        <w:top w:val="none" w:sz="0" w:space="0" w:color="auto"/>
        <w:left w:val="none" w:sz="0" w:space="0" w:color="auto"/>
        <w:bottom w:val="none" w:sz="0" w:space="0" w:color="auto"/>
        <w:right w:val="none" w:sz="0" w:space="0" w:color="auto"/>
      </w:divBdr>
    </w:div>
    <w:div w:id="1677685305">
      <w:bodyDiv w:val="1"/>
      <w:marLeft w:val="0"/>
      <w:marRight w:val="0"/>
      <w:marTop w:val="0"/>
      <w:marBottom w:val="0"/>
      <w:divBdr>
        <w:top w:val="none" w:sz="0" w:space="0" w:color="auto"/>
        <w:left w:val="none" w:sz="0" w:space="0" w:color="auto"/>
        <w:bottom w:val="none" w:sz="0" w:space="0" w:color="auto"/>
        <w:right w:val="none" w:sz="0" w:space="0" w:color="auto"/>
      </w:divBdr>
    </w:div>
    <w:div w:id="1689791379">
      <w:bodyDiv w:val="1"/>
      <w:marLeft w:val="0"/>
      <w:marRight w:val="0"/>
      <w:marTop w:val="0"/>
      <w:marBottom w:val="0"/>
      <w:divBdr>
        <w:top w:val="none" w:sz="0" w:space="0" w:color="auto"/>
        <w:left w:val="none" w:sz="0" w:space="0" w:color="auto"/>
        <w:bottom w:val="none" w:sz="0" w:space="0" w:color="auto"/>
        <w:right w:val="none" w:sz="0" w:space="0" w:color="auto"/>
      </w:divBdr>
    </w:div>
    <w:div w:id="1690326215">
      <w:bodyDiv w:val="1"/>
      <w:marLeft w:val="0"/>
      <w:marRight w:val="0"/>
      <w:marTop w:val="0"/>
      <w:marBottom w:val="0"/>
      <w:divBdr>
        <w:top w:val="none" w:sz="0" w:space="0" w:color="auto"/>
        <w:left w:val="none" w:sz="0" w:space="0" w:color="auto"/>
        <w:bottom w:val="none" w:sz="0" w:space="0" w:color="auto"/>
        <w:right w:val="none" w:sz="0" w:space="0" w:color="auto"/>
      </w:divBdr>
    </w:div>
    <w:div w:id="1690791778">
      <w:bodyDiv w:val="1"/>
      <w:marLeft w:val="0"/>
      <w:marRight w:val="0"/>
      <w:marTop w:val="0"/>
      <w:marBottom w:val="0"/>
      <w:divBdr>
        <w:top w:val="none" w:sz="0" w:space="0" w:color="auto"/>
        <w:left w:val="none" w:sz="0" w:space="0" w:color="auto"/>
        <w:bottom w:val="none" w:sz="0" w:space="0" w:color="auto"/>
        <w:right w:val="none" w:sz="0" w:space="0" w:color="auto"/>
      </w:divBdr>
    </w:div>
    <w:div w:id="1691028430">
      <w:bodyDiv w:val="1"/>
      <w:marLeft w:val="0"/>
      <w:marRight w:val="0"/>
      <w:marTop w:val="0"/>
      <w:marBottom w:val="0"/>
      <w:divBdr>
        <w:top w:val="none" w:sz="0" w:space="0" w:color="auto"/>
        <w:left w:val="none" w:sz="0" w:space="0" w:color="auto"/>
        <w:bottom w:val="none" w:sz="0" w:space="0" w:color="auto"/>
        <w:right w:val="none" w:sz="0" w:space="0" w:color="auto"/>
      </w:divBdr>
    </w:div>
    <w:div w:id="1692145884">
      <w:bodyDiv w:val="1"/>
      <w:marLeft w:val="0"/>
      <w:marRight w:val="0"/>
      <w:marTop w:val="0"/>
      <w:marBottom w:val="0"/>
      <w:divBdr>
        <w:top w:val="none" w:sz="0" w:space="0" w:color="auto"/>
        <w:left w:val="none" w:sz="0" w:space="0" w:color="auto"/>
        <w:bottom w:val="none" w:sz="0" w:space="0" w:color="auto"/>
        <w:right w:val="none" w:sz="0" w:space="0" w:color="auto"/>
      </w:divBdr>
    </w:div>
    <w:div w:id="1698314283">
      <w:bodyDiv w:val="1"/>
      <w:marLeft w:val="0"/>
      <w:marRight w:val="0"/>
      <w:marTop w:val="0"/>
      <w:marBottom w:val="0"/>
      <w:divBdr>
        <w:top w:val="none" w:sz="0" w:space="0" w:color="auto"/>
        <w:left w:val="none" w:sz="0" w:space="0" w:color="auto"/>
        <w:bottom w:val="none" w:sz="0" w:space="0" w:color="auto"/>
        <w:right w:val="none" w:sz="0" w:space="0" w:color="auto"/>
      </w:divBdr>
    </w:div>
    <w:div w:id="1699087686">
      <w:bodyDiv w:val="1"/>
      <w:marLeft w:val="0"/>
      <w:marRight w:val="0"/>
      <w:marTop w:val="0"/>
      <w:marBottom w:val="0"/>
      <w:divBdr>
        <w:top w:val="none" w:sz="0" w:space="0" w:color="auto"/>
        <w:left w:val="none" w:sz="0" w:space="0" w:color="auto"/>
        <w:bottom w:val="none" w:sz="0" w:space="0" w:color="auto"/>
        <w:right w:val="none" w:sz="0" w:space="0" w:color="auto"/>
      </w:divBdr>
    </w:div>
    <w:div w:id="1705057411">
      <w:bodyDiv w:val="1"/>
      <w:marLeft w:val="0"/>
      <w:marRight w:val="0"/>
      <w:marTop w:val="0"/>
      <w:marBottom w:val="0"/>
      <w:divBdr>
        <w:top w:val="none" w:sz="0" w:space="0" w:color="auto"/>
        <w:left w:val="none" w:sz="0" w:space="0" w:color="auto"/>
        <w:bottom w:val="none" w:sz="0" w:space="0" w:color="auto"/>
        <w:right w:val="none" w:sz="0" w:space="0" w:color="auto"/>
      </w:divBdr>
    </w:div>
    <w:div w:id="1705670326">
      <w:bodyDiv w:val="1"/>
      <w:marLeft w:val="0"/>
      <w:marRight w:val="0"/>
      <w:marTop w:val="0"/>
      <w:marBottom w:val="0"/>
      <w:divBdr>
        <w:top w:val="none" w:sz="0" w:space="0" w:color="auto"/>
        <w:left w:val="none" w:sz="0" w:space="0" w:color="auto"/>
        <w:bottom w:val="none" w:sz="0" w:space="0" w:color="auto"/>
        <w:right w:val="none" w:sz="0" w:space="0" w:color="auto"/>
      </w:divBdr>
    </w:div>
    <w:div w:id="1711684371">
      <w:bodyDiv w:val="1"/>
      <w:marLeft w:val="0"/>
      <w:marRight w:val="0"/>
      <w:marTop w:val="0"/>
      <w:marBottom w:val="0"/>
      <w:divBdr>
        <w:top w:val="none" w:sz="0" w:space="0" w:color="auto"/>
        <w:left w:val="none" w:sz="0" w:space="0" w:color="auto"/>
        <w:bottom w:val="none" w:sz="0" w:space="0" w:color="auto"/>
        <w:right w:val="none" w:sz="0" w:space="0" w:color="auto"/>
      </w:divBdr>
    </w:div>
    <w:div w:id="1716343506">
      <w:bodyDiv w:val="1"/>
      <w:marLeft w:val="0"/>
      <w:marRight w:val="0"/>
      <w:marTop w:val="0"/>
      <w:marBottom w:val="0"/>
      <w:divBdr>
        <w:top w:val="none" w:sz="0" w:space="0" w:color="auto"/>
        <w:left w:val="none" w:sz="0" w:space="0" w:color="auto"/>
        <w:bottom w:val="none" w:sz="0" w:space="0" w:color="auto"/>
        <w:right w:val="none" w:sz="0" w:space="0" w:color="auto"/>
      </w:divBdr>
    </w:div>
    <w:div w:id="1741366669">
      <w:bodyDiv w:val="1"/>
      <w:marLeft w:val="0"/>
      <w:marRight w:val="0"/>
      <w:marTop w:val="0"/>
      <w:marBottom w:val="0"/>
      <w:divBdr>
        <w:top w:val="none" w:sz="0" w:space="0" w:color="auto"/>
        <w:left w:val="none" w:sz="0" w:space="0" w:color="auto"/>
        <w:bottom w:val="none" w:sz="0" w:space="0" w:color="auto"/>
        <w:right w:val="none" w:sz="0" w:space="0" w:color="auto"/>
      </w:divBdr>
    </w:div>
    <w:div w:id="1770159284">
      <w:bodyDiv w:val="1"/>
      <w:marLeft w:val="0"/>
      <w:marRight w:val="0"/>
      <w:marTop w:val="0"/>
      <w:marBottom w:val="0"/>
      <w:divBdr>
        <w:top w:val="none" w:sz="0" w:space="0" w:color="auto"/>
        <w:left w:val="none" w:sz="0" w:space="0" w:color="auto"/>
        <w:bottom w:val="none" w:sz="0" w:space="0" w:color="auto"/>
        <w:right w:val="none" w:sz="0" w:space="0" w:color="auto"/>
      </w:divBdr>
    </w:div>
    <w:div w:id="1780100964">
      <w:bodyDiv w:val="1"/>
      <w:marLeft w:val="0"/>
      <w:marRight w:val="0"/>
      <w:marTop w:val="0"/>
      <w:marBottom w:val="0"/>
      <w:divBdr>
        <w:top w:val="none" w:sz="0" w:space="0" w:color="auto"/>
        <w:left w:val="none" w:sz="0" w:space="0" w:color="auto"/>
        <w:bottom w:val="none" w:sz="0" w:space="0" w:color="auto"/>
        <w:right w:val="none" w:sz="0" w:space="0" w:color="auto"/>
      </w:divBdr>
    </w:div>
    <w:div w:id="1814132876">
      <w:bodyDiv w:val="1"/>
      <w:marLeft w:val="0"/>
      <w:marRight w:val="0"/>
      <w:marTop w:val="0"/>
      <w:marBottom w:val="0"/>
      <w:divBdr>
        <w:top w:val="none" w:sz="0" w:space="0" w:color="auto"/>
        <w:left w:val="none" w:sz="0" w:space="0" w:color="auto"/>
        <w:bottom w:val="none" w:sz="0" w:space="0" w:color="auto"/>
        <w:right w:val="none" w:sz="0" w:space="0" w:color="auto"/>
      </w:divBdr>
    </w:div>
    <w:div w:id="1821001211">
      <w:bodyDiv w:val="1"/>
      <w:marLeft w:val="0"/>
      <w:marRight w:val="0"/>
      <w:marTop w:val="0"/>
      <w:marBottom w:val="0"/>
      <w:divBdr>
        <w:top w:val="none" w:sz="0" w:space="0" w:color="auto"/>
        <w:left w:val="none" w:sz="0" w:space="0" w:color="auto"/>
        <w:bottom w:val="none" w:sz="0" w:space="0" w:color="auto"/>
        <w:right w:val="none" w:sz="0" w:space="0" w:color="auto"/>
      </w:divBdr>
    </w:div>
    <w:div w:id="1832090520">
      <w:bodyDiv w:val="1"/>
      <w:marLeft w:val="0"/>
      <w:marRight w:val="0"/>
      <w:marTop w:val="0"/>
      <w:marBottom w:val="0"/>
      <w:divBdr>
        <w:top w:val="none" w:sz="0" w:space="0" w:color="auto"/>
        <w:left w:val="none" w:sz="0" w:space="0" w:color="auto"/>
        <w:bottom w:val="none" w:sz="0" w:space="0" w:color="auto"/>
        <w:right w:val="none" w:sz="0" w:space="0" w:color="auto"/>
      </w:divBdr>
    </w:div>
    <w:div w:id="1834102636">
      <w:bodyDiv w:val="1"/>
      <w:marLeft w:val="0"/>
      <w:marRight w:val="0"/>
      <w:marTop w:val="0"/>
      <w:marBottom w:val="0"/>
      <w:divBdr>
        <w:top w:val="none" w:sz="0" w:space="0" w:color="auto"/>
        <w:left w:val="none" w:sz="0" w:space="0" w:color="auto"/>
        <w:bottom w:val="none" w:sz="0" w:space="0" w:color="auto"/>
        <w:right w:val="none" w:sz="0" w:space="0" w:color="auto"/>
      </w:divBdr>
    </w:div>
    <w:div w:id="1855147100">
      <w:bodyDiv w:val="1"/>
      <w:marLeft w:val="0"/>
      <w:marRight w:val="0"/>
      <w:marTop w:val="0"/>
      <w:marBottom w:val="0"/>
      <w:divBdr>
        <w:top w:val="none" w:sz="0" w:space="0" w:color="auto"/>
        <w:left w:val="none" w:sz="0" w:space="0" w:color="auto"/>
        <w:bottom w:val="none" w:sz="0" w:space="0" w:color="auto"/>
        <w:right w:val="none" w:sz="0" w:space="0" w:color="auto"/>
      </w:divBdr>
    </w:div>
    <w:div w:id="1873419365">
      <w:bodyDiv w:val="1"/>
      <w:marLeft w:val="0"/>
      <w:marRight w:val="0"/>
      <w:marTop w:val="0"/>
      <w:marBottom w:val="0"/>
      <w:divBdr>
        <w:top w:val="none" w:sz="0" w:space="0" w:color="auto"/>
        <w:left w:val="none" w:sz="0" w:space="0" w:color="auto"/>
        <w:bottom w:val="none" w:sz="0" w:space="0" w:color="auto"/>
        <w:right w:val="none" w:sz="0" w:space="0" w:color="auto"/>
      </w:divBdr>
    </w:div>
    <w:div w:id="1922525939">
      <w:bodyDiv w:val="1"/>
      <w:marLeft w:val="0"/>
      <w:marRight w:val="0"/>
      <w:marTop w:val="0"/>
      <w:marBottom w:val="0"/>
      <w:divBdr>
        <w:top w:val="none" w:sz="0" w:space="0" w:color="auto"/>
        <w:left w:val="none" w:sz="0" w:space="0" w:color="auto"/>
        <w:bottom w:val="none" w:sz="0" w:space="0" w:color="auto"/>
        <w:right w:val="none" w:sz="0" w:space="0" w:color="auto"/>
      </w:divBdr>
    </w:div>
    <w:div w:id="1925413523">
      <w:bodyDiv w:val="1"/>
      <w:marLeft w:val="0"/>
      <w:marRight w:val="0"/>
      <w:marTop w:val="0"/>
      <w:marBottom w:val="0"/>
      <w:divBdr>
        <w:top w:val="none" w:sz="0" w:space="0" w:color="auto"/>
        <w:left w:val="none" w:sz="0" w:space="0" w:color="auto"/>
        <w:bottom w:val="none" w:sz="0" w:space="0" w:color="auto"/>
        <w:right w:val="none" w:sz="0" w:space="0" w:color="auto"/>
      </w:divBdr>
    </w:div>
    <w:div w:id="1928417199">
      <w:bodyDiv w:val="1"/>
      <w:marLeft w:val="0"/>
      <w:marRight w:val="0"/>
      <w:marTop w:val="0"/>
      <w:marBottom w:val="0"/>
      <w:divBdr>
        <w:top w:val="none" w:sz="0" w:space="0" w:color="auto"/>
        <w:left w:val="none" w:sz="0" w:space="0" w:color="auto"/>
        <w:bottom w:val="none" w:sz="0" w:space="0" w:color="auto"/>
        <w:right w:val="none" w:sz="0" w:space="0" w:color="auto"/>
      </w:divBdr>
    </w:div>
    <w:div w:id="1928731533">
      <w:bodyDiv w:val="1"/>
      <w:marLeft w:val="0"/>
      <w:marRight w:val="0"/>
      <w:marTop w:val="0"/>
      <w:marBottom w:val="0"/>
      <w:divBdr>
        <w:top w:val="none" w:sz="0" w:space="0" w:color="auto"/>
        <w:left w:val="none" w:sz="0" w:space="0" w:color="auto"/>
        <w:bottom w:val="none" w:sz="0" w:space="0" w:color="auto"/>
        <w:right w:val="none" w:sz="0" w:space="0" w:color="auto"/>
      </w:divBdr>
    </w:div>
    <w:div w:id="1939365969">
      <w:bodyDiv w:val="1"/>
      <w:marLeft w:val="0"/>
      <w:marRight w:val="0"/>
      <w:marTop w:val="0"/>
      <w:marBottom w:val="0"/>
      <w:divBdr>
        <w:top w:val="none" w:sz="0" w:space="0" w:color="auto"/>
        <w:left w:val="none" w:sz="0" w:space="0" w:color="auto"/>
        <w:bottom w:val="none" w:sz="0" w:space="0" w:color="auto"/>
        <w:right w:val="none" w:sz="0" w:space="0" w:color="auto"/>
      </w:divBdr>
    </w:div>
    <w:div w:id="1943101671">
      <w:bodyDiv w:val="1"/>
      <w:marLeft w:val="0"/>
      <w:marRight w:val="0"/>
      <w:marTop w:val="0"/>
      <w:marBottom w:val="0"/>
      <w:divBdr>
        <w:top w:val="none" w:sz="0" w:space="0" w:color="auto"/>
        <w:left w:val="none" w:sz="0" w:space="0" w:color="auto"/>
        <w:bottom w:val="none" w:sz="0" w:space="0" w:color="auto"/>
        <w:right w:val="none" w:sz="0" w:space="0" w:color="auto"/>
      </w:divBdr>
    </w:div>
    <w:div w:id="1950356841">
      <w:bodyDiv w:val="1"/>
      <w:marLeft w:val="0"/>
      <w:marRight w:val="0"/>
      <w:marTop w:val="0"/>
      <w:marBottom w:val="0"/>
      <w:divBdr>
        <w:top w:val="none" w:sz="0" w:space="0" w:color="auto"/>
        <w:left w:val="none" w:sz="0" w:space="0" w:color="auto"/>
        <w:bottom w:val="none" w:sz="0" w:space="0" w:color="auto"/>
        <w:right w:val="none" w:sz="0" w:space="0" w:color="auto"/>
      </w:divBdr>
    </w:div>
    <w:div w:id="1954558396">
      <w:bodyDiv w:val="1"/>
      <w:marLeft w:val="0"/>
      <w:marRight w:val="0"/>
      <w:marTop w:val="0"/>
      <w:marBottom w:val="0"/>
      <w:divBdr>
        <w:top w:val="none" w:sz="0" w:space="0" w:color="auto"/>
        <w:left w:val="none" w:sz="0" w:space="0" w:color="auto"/>
        <w:bottom w:val="none" w:sz="0" w:space="0" w:color="auto"/>
        <w:right w:val="none" w:sz="0" w:space="0" w:color="auto"/>
      </w:divBdr>
    </w:div>
    <w:div w:id="1957786594">
      <w:bodyDiv w:val="1"/>
      <w:marLeft w:val="0"/>
      <w:marRight w:val="0"/>
      <w:marTop w:val="0"/>
      <w:marBottom w:val="0"/>
      <w:divBdr>
        <w:top w:val="none" w:sz="0" w:space="0" w:color="auto"/>
        <w:left w:val="none" w:sz="0" w:space="0" w:color="auto"/>
        <w:bottom w:val="none" w:sz="0" w:space="0" w:color="auto"/>
        <w:right w:val="none" w:sz="0" w:space="0" w:color="auto"/>
      </w:divBdr>
    </w:div>
    <w:div w:id="1958444890">
      <w:bodyDiv w:val="1"/>
      <w:marLeft w:val="0"/>
      <w:marRight w:val="0"/>
      <w:marTop w:val="0"/>
      <w:marBottom w:val="0"/>
      <w:divBdr>
        <w:top w:val="none" w:sz="0" w:space="0" w:color="auto"/>
        <w:left w:val="none" w:sz="0" w:space="0" w:color="auto"/>
        <w:bottom w:val="none" w:sz="0" w:space="0" w:color="auto"/>
        <w:right w:val="none" w:sz="0" w:space="0" w:color="auto"/>
      </w:divBdr>
    </w:div>
    <w:div w:id="1976138603">
      <w:bodyDiv w:val="1"/>
      <w:marLeft w:val="0"/>
      <w:marRight w:val="0"/>
      <w:marTop w:val="0"/>
      <w:marBottom w:val="0"/>
      <w:divBdr>
        <w:top w:val="none" w:sz="0" w:space="0" w:color="auto"/>
        <w:left w:val="none" w:sz="0" w:space="0" w:color="auto"/>
        <w:bottom w:val="none" w:sz="0" w:space="0" w:color="auto"/>
        <w:right w:val="none" w:sz="0" w:space="0" w:color="auto"/>
      </w:divBdr>
    </w:div>
    <w:div w:id="1983121302">
      <w:bodyDiv w:val="1"/>
      <w:marLeft w:val="0"/>
      <w:marRight w:val="0"/>
      <w:marTop w:val="0"/>
      <w:marBottom w:val="0"/>
      <w:divBdr>
        <w:top w:val="none" w:sz="0" w:space="0" w:color="auto"/>
        <w:left w:val="none" w:sz="0" w:space="0" w:color="auto"/>
        <w:bottom w:val="none" w:sz="0" w:space="0" w:color="auto"/>
        <w:right w:val="none" w:sz="0" w:space="0" w:color="auto"/>
      </w:divBdr>
    </w:div>
    <w:div w:id="1986666332">
      <w:bodyDiv w:val="1"/>
      <w:marLeft w:val="0"/>
      <w:marRight w:val="0"/>
      <w:marTop w:val="0"/>
      <w:marBottom w:val="0"/>
      <w:divBdr>
        <w:top w:val="none" w:sz="0" w:space="0" w:color="auto"/>
        <w:left w:val="none" w:sz="0" w:space="0" w:color="auto"/>
        <w:bottom w:val="none" w:sz="0" w:space="0" w:color="auto"/>
        <w:right w:val="none" w:sz="0" w:space="0" w:color="auto"/>
      </w:divBdr>
    </w:div>
    <w:div w:id="2018574374">
      <w:bodyDiv w:val="1"/>
      <w:marLeft w:val="0"/>
      <w:marRight w:val="0"/>
      <w:marTop w:val="0"/>
      <w:marBottom w:val="0"/>
      <w:divBdr>
        <w:top w:val="none" w:sz="0" w:space="0" w:color="auto"/>
        <w:left w:val="none" w:sz="0" w:space="0" w:color="auto"/>
        <w:bottom w:val="none" w:sz="0" w:space="0" w:color="auto"/>
        <w:right w:val="none" w:sz="0" w:space="0" w:color="auto"/>
      </w:divBdr>
    </w:div>
    <w:div w:id="2019387792">
      <w:bodyDiv w:val="1"/>
      <w:marLeft w:val="0"/>
      <w:marRight w:val="0"/>
      <w:marTop w:val="0"/>
      <w:marBottom w:val="0"/>
      <w:divBdr>
        <w:top w:val="none" w:sz="0" w:space="0" w:color="auto"/>
        <w:left w:val="none" w:sz="0" w:space="0" w:color="auto"/>
        <w:bottom w:val="none" w:sz="0" w:space="0" w:color="auto"/>
        <w:right w:val="none" w:sz="0" w:space="0" w:color="auto"/>
      </w:divBdr>
    </w:div>
    <w:div w:id="2020353199">
      <w:bodyDiv w:val="1"/>
      <w:marLeft w:val="0"/>
      <w:marRight w:val="0"/>
      <w:marTop w:val="0"/>
      <w:marBottom w:val="0"/>
      <w:divBdr>
        <w:top w:val="none" w:sz="0" w:space="0" w:color="auto"/>
        <w:left w:val="none" w:sz="0" w:space="0" w:color="auto"/>
        <w:bottom w:val="none" w:sz="0" w:space="0" w:color="auto"/>
        <w:right w:val="none" w:sz="0" w:space="0" w:color="auto"/>
      </w:divBdr>
    </w:div>
    <w:div w:id="2032367105">
      <w:bodyDiv w:val="1"/>
      <w:marLeft w:val="0"/>
      <w:marRight w:val="0"/>
      <w:marTop w:val="0"/>
      <w:marBottom w:val="0"/>
      <w:divBdr>
        <w:top w:val="none" w:sz="0" w:space="0" w:color="auto"/>
        <w:left w:val="none" w:sz="0" w:space="0" w:color="auto"/>
        <w:bottom w:val="none" w:sz="0" w:space="0" w:color="auto"/>
        <w:right w:val="none" w:sz="0" w:space="0" w:color="auto"/>
      </w:divBdr>
    </w:div>
    <w:div w:id="2039894527">
      <w:bodyDiv w:val="1"/>
      <w:marLeft w:val="0"/>
      <w:marRight w:val="0"/>
      <w:marTop w:val="0"/>
      <w:marBottom w:val="0"/>
      <w:divBdr>
        <w:top w:val="none" w:sz="0" w:space="0" w:color="auto"/>
        <w:left w:val="none" w:sz="0" w:space="0" w:color="auto"/>
        <w:bottom w:val="none" w:sz="0" w:space="0" w:color="auto"/>
        <w:right w:val="none" w:sz="0" w:space="0" w:color="auto"/>
      </w:divBdr>
    </w:div>
    <w:div w:id="2053844536">
      <w:bodyDiv w:val="1"/>
      <w:marLeft w:val="0"/>
      <w:marRight w:val="0"/>
      <w:marTop w:val="0"/>
      <w:marBottom w:val="0"/>
      <w:divBdr>
        <w:top w:val="none" w:sz="0" w:space="0" w:color="auto"/>
        <w:left w:val="none" w:sz="0" w:space="0" w:color="auto"/>
        <w:bottom w:val="none" w:sz="0" w:space="0" w:color="auto"/>
        <w:right w:val="none" w:sz="0" w:space="0" w:color="auto"/>
      </w:divBdr>
    </w:div>
    <w:div w:id="2059085991">
      <w:bodyDiv w:val="1"/>
      <w:marLeft w:val="0"/>
      <w:marRight w:val="0"/>
      <w:marTop w:val="0"/>
      <w:marBottom w:val="0"/>
      <w:divBdr>
        <w:top w:val="none" w:sz="0" w:space="0" w:color="auto"/>
        <w:left w:val="none" w:sz="0" w:space="0" w:color="auto"/>
        <w:bottom w:val="none" w:sz="0" w:space="0" w:color="auto"/>
        <w:right w:val="none" w:sz="0" w:space="0" w:color="auto"/>
      </w:divBdr>
    </w:div>
    <w:div w:id="2077435158">
      <w:bodyDiv w:val="1"/>
      <w:marLeft w:val="0"/>
      <w:marRight w:val="0"/>
      <w:marTop w:val="0"/>
      <w:marBottom w:val="0"/>
      <w:divBdr>
        <w:top w:val="none" w:sz="0" w:space="0" w:color="auto"/>
        <w:left w:val="none" w:sz="0" w:space="0" w:color="auto"/>
        <w:bottom w:val="none" w:sz="0" w:space="0" w:color="auto"/>
        <w:right w:val="none" w:sz="0" w:space="0" w:color="auto"/>
      </w:divBdr>
    </w:div>
    <w:div w:id="2102412132">
      <w:bodyDiv w:val="1"/>
      <w:marLeft w:val="0"/>
      <w:marRight w:val="0"/>
      <w:marTop w:val="0"/>
      <w:marBottom w:val="0"/>
      <w:divBdr>
        <w:top w:val="none" w:sz="0" w:space="0" w:color="auto"/>
        <w:left w:val="none" w:sz="0" w:space="0" w:color="auto"/>
        <w:bottom w:val="none" w:sz="0" w:space="0" w:color="auto"/>
        <w:right w:val="none" w:sz="0" w:space="0" w:color="auto"/>
      </w:divBdr>
    </w:div>
    <w:div w:id="2116634014">
      <w:bodyDiv w:val="1"/>
      <w:marLeft w:val="0"/>
      <w:marRight w:val="0"/>
      <w:marTop w:val="0"/>
      <w:marBottom w:val="0"/>
      <w:divBdr>
        <w:top w:val="none" w:sz="0" w:space="0" w:color="auto"/>
        <w:left w:val="none" w:sz="0" w:space="0" w:color="auto"/>
        <w:bottom w:val="none" w:sz="0" w:space="0" w:color="auto"/>
        <w:right w:val="none" w:sz="0" w:space="0" w:color="auto"/>
      </w:divBdr>
    </w:div>
    <w:div w:id="2124226546">
      <w:bodyDiv w:val="1"/>
      <w:marLeft w:val="0"/>
      <w:marRight w:val="0"/>
      <w:marTop w:val="0"/>
      <w:marBottom w:val="0"/>
      <w:divBdr>
        <w:top w:val="none" w:sz="0" w:space="0" w:color="auto"/>
        <w:left w:val="none" w:sz="0" w:space="0" w:color="auto"/>
        <w:bottom w:val="none" w:sz="0" w:space="0" w:color="auto"/>
        <w:right w:val="none" w:sz="0" w:space="0" w:color="auto"/>
      </w:divBdr>
    </w:div>
    <w:div w:id="2124882527">
      <w:bodyDiv w:val="1"/>
      <w:marLeft w:val="0"/>
      <w:marRight w:val="0"/>
      <w:marTop w:val="0"/>
      <w:marBottom w:val="0"/>
      <w:divBdr>
        <w:top w:val="none" w:sz="0" w:space="0" w:color="auto"/>
        <w:left w:val="none" w:sz="0" w:space="0" w:color="auto"/>
        <w:bottom w:val="none" w:sz="0" w:space="0" w:color="auto"/>
        <w:right w:val="none" w:sz="0" w:space="0" w:color="auto"/>
      </w:divBdr>
    </w:div>
    <w:div w:id="2126272453">
      <w:bodyDiv w:val="1"/>
      <w:marLeft w:val="0"/>
      <w:marRight w:val="0"/>
      <w:marTop w:val="0"/>
      <w:marBottom w:val="0"/>
      <w:divBdr>
        <w:top w:val="none" w:sz="0" w:space="0" w:color="auto"/>
        <w:left w:val="none" w:sz="0" w:space="0" w:color="auto"/>
        <w:bottom w:val="none" w:sz="0" w:space="0" w:color="auto"/>
        <w:right w:val="none" w:sz="0" w:space="0" w:color="auto"/>
      </w:divBdr>
    </w:div>
    <w:div w:id="2127041524">
      <w:bodyDiv w:val="1"/>
      <w:marLeft w:val="0"/>
      <w:marRight w:val="0"/>
      <w:marTop w:val="0"/>
      <w:marBottom w:val="0"/>
      <w:divBdr>
        <w:top w:val="none" w:sz="0" w:space="0" w:color="auto"/>
        <w:left w:val="none" w:sz="0" w:space="0" w:color="auto"/>
        <w:bottom w:val="none" w:sz="0" w:space="0" w:color="auto"/>
        <w:right w:val="none" w:sz="0" w:space="0" w:color="auto"/>
      </w:divBdr>
    </w:div>
    <w:div w:id="2127429742">
      <w:bodyDiv w:val="1"/>
      <w:marLeft w:val="0"/>
      <w:marRight w:val="0"/>
      <w:marTop w:val="0"/>
      <w:marBottom w:val="0"/>
      <w:divBdr>
        <w:top w:val="none" w:sz="0" w:space="0" w:color="auto"/>
        <w:left w:val="none" w:sz="0" w:space="0" w:color="auto"/>
        <w:bottom w:val="none" w:sz="0" w:space="0" w:color="auto"/>
        <w:right w:val="none" w:sz="0" w:space="0" w:color="auto"/>
      </w:divBdr>
    </w:div>
    <w:div w:id="2139714271">
      <w:bodyDiv w:val="1"/>
      <w:marLeft w:val="0"/>
      <w:marRight w:val="0"/>
      <w:marTop w:val="0"/>
      <w:marBottom w:val="0"/>
      <w:divBdr>
        <w:top w:val="none" w:sz="0" w:space="0" w:color="auto"/>
        <w:left w:val="none" w:sz="0" w:space="0" w:color="auto"/>
        <w:bottom w:val="none" w:sz="0" w:space="0" w:color="auto"/>
        <w:right w:val="none" w:sz="0" w:space="0" w:color="auto"/>
      </w:divBdr>
    </w:div>
    <w:div w:id="2142922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obert.palatella@wfa.com" TargetMode="External"/><Relationship Id="rId13" Type="http://schemas.openxmlformats.org/officeDocument/2006/relationships/image" Target="media/image4.png"/><Relationship Id="rId18" Type="http://schemas.openxmlformats.org/officeDocument/2006/relationships/image" Target="media/image8.jfif"/><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yperlink" Target="https://awealthofcommonsense.com/2024/03/20-lessons-from-20-years-of-managing-money/?fireglass_rsn=true"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lifescapes.wellsfargoadvisors.com/teaching-kids-about-money/" TargetMode="External"/><Relationship Id="rId5" Type="http://schemas.openxmlformats.org/officeDocument/2006/relationships/webSettings" Target="webSettings.xml"/><Relationship Id="rId15" Type="http://schemas.openxmlformats.org/officeDocument/2006/relationships/image" Target="media/image5.jfif"/><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image" Target="media/image1.jfif"/><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hyperlink" Target="https://www.forbes.com/profile/michael-obrien/" TargetMode="External"/><Relationship Id="rId14" Type="http://schemas.openxmlformats.org/officeDocument/2006/relationships/chart" Target="charts/chart1.xml"/><Relationship Id="rId22" Type="http://schemas.openxmlformats.org/officeDocument/2006/relationships/footer" Target="footer1.xml"/><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_rels/header2.xml.rels><?xml version="1.0" encoding="UTF-8" standalone="yes"?>
<Relationships xmlns="http://schemas.openxmlformats.org/package/2006/relationships"><Relationship Id="rId2" Type="http://schemas.openxmlformats.org/officeDocument/2006/relationships/image" Target="media/image9.jpg"/><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9.jp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file:///\\ncslnsf701z1.wellsfargo.net\C_PCS_Groups\INVESTMENT_STRATEGY_TEAM\Publications\Market%20Charts\market%20charts%20Econ%20EQ.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ncslnsf701z1.wellsfargo.net\C_PCS_Groups\INVESTMENT_STRATEGY_TEAM\Publications\Market%20Charts\market%20charts%20FI%20RA%20Alts%20FX%20AA.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rgbClr val="3C3C3C"/>
                </a:solidFill>
                <a:latin typeface="Wells Fargo Sans" panose="020B0503020203020204" pitchFamily="34" charset="0"/>
                <a:ea typeface="+mn-ea"/>
                <a:cs typeface="+mn-cs"/>
              </a:defRPr>
            </a:pPr>
            <a:r>
              <a:rPr lang="en-US" sz="1200" b="1" dirty="0">
                <a:solidFill>
                  <a:srgbClr val="3C3C3C"/>
                </a:solidFill>
              </a:rPr>
              <a:t>Today’s </a:t>
            </a:r>
            <a:r>
              <a:rPr lang="en-US" sz="1200" b="1" i="0" u="none" strike="noStrike" kern="1200" spc="0" baseline="0" dirty="0">
                <a:solidFill>
                  <a:srgbClr val="3C3C3C"/>
                </a:solidFill>
                <a:latin typeface="Wells Fargo Sans" panose="020B0503020203020204" pitchFamily="34" charset="0"/>
                <a:ea typeface="+mn-ea"/>
                <a:cs typeface="+mn-cs"/>
              </a:rPr>
              <a:t>interest rates support valuations above the long-term historical average of 17x</a:t>
            </a:r>
          </a:p>
        </c:rich>
      </c:tx>
      <c:overlay val="0"/>
      <c:spPr>
        <a:noFill/>
        <a:ln>
          <a:noFill/>
        </a:ln>
        <a:effectLst/>
      </c:spPr>
      <c:txPr>
        <a:bodyPr rot="0" spcFirstLastPara="1" vertOverflow="ellipsis" vert="horz" wrap="square" anchor="ctr" anchorCtr="1"/>
        <a:lstStyle/>
        <a:p>
          <a:pPr>
            <a:defRPr sz="1200" b="1" i="0" u="none" strike="noStrike" kern="1200" spc="0" baseline="0">
              <a:solidFill>
                <a:srgbClr val="3C3C3C"/>
              </a:solidFill>
              <a:latin typeface="Wells Fargo Sans" panose="020B0503020203020204" pitchFamily="34" charset="0"/>
              <a:ea typeface="+mn-ea"/>
              <a:cs typeface="+mn-cs"/>
            </a:defRPr>
          </a:pPr>
          <a:endParaRPr lang="en-US"/>
        </a:p>
      </c:txPr>
    </c:title>
    <c:autoTitleDeleted val="0"/>
    <c:plotArea>
      <c:layout/>
      <c:barChart>
        <c:barDir val="col"/>
        <c:grouping val="clustered"/>
        <c:varyColors val="0"/>
        <c:ser>
          <c:idx val="0"/>
          <c:order val="0"/>
          <c:spPr>
            <a:solidFill>
              <a:schemeClr val="accent2"/>
            </a:solidFill>
            <a:ln>
              <a:noFill/>
            </a:ln>
            <a:effectLst/>
          </c:spPr>
          <c:invertIfNegative val="0"/>
          <c:dPt>
            <c:idx val="1"/>
            <c:invertIfNegative val="0"/>
            <c:bubble3D val="0"/>
            <c:spPr>
              <a:solidFill>
                <a:schemeClr val="accent2"/>
              </a:solidFill>
              <a:ln>
                <a:noFill/>
              </a:ln>
              <a:effectLst/>
            </c:spPr>
            <c:extLst>
              <c:ext xmlns:c16="http://schemas.microsoft.com/office/drawing/2014/chart" uri="{C3380CC4-5D6E-409C-BE32-E72D297353CC}">
                <c16:uniqueId val="{00000001-19F2-4EEB-BB78-2D7CF11CE36F}"/>
              </c:ext>
            </c:extLst>
          </c:dPt>
          <c:dLbls>
            <c:spPr>
              <a:noFill/>
              <a:ln>
                <a:noFill/>
              </a:ln>
              <a:effectLst/>
            </c:spPr>
            <c:txPr>
              <a:bodyPr rot="0" spcFirstLastPara="1" vertOverflow="ellipsis" vert="horz" wrap="square" anchor="ctr" anchorCtr="1"/>
              <a:lstStyle/>
              <a:p>
                <a:pPr>
                  <a:defRPr sz="800" b="0" i="0" u="none" strike="noStrike" kern="1200" baseline="0">
                    <a:solidFill>
                      <a:srgbClr val="3C3C3C"/>
                    </a:solidFill>
                    <a:latin typeface="Wells Fargo Sans" panose="020B0503020203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 Int rates'!$A$1:$F$1</c:f>
              <c:strCache>
                <c:ptCount val="6"/>
                <c:pt idx="0">
                  <c:v>Less than 2%</c:v>
                </c:pt>
                <c:pt idx="1">
                  <c:v>2% – 4%</c:v>
                </c:pt>
                <c:pt idx="2">
                  <c:v>4% – 6%</c:v>
                </c:pt>
                <c:pt idx="3">
                  <c:v>6% – 8%</c:v>
                </c:pt>
                <c:pt idx="4">
                  <c:v>8% – 10%</c:v>
                </c:pt>
                <c:pt idx="5">
                  <c:v>Greater than 10%</c:v>
                </c:pt>
              </c:strCache>
            </c:strRef>
          </c:cat>
          <c:val>
            <c:numRef>
              <c:f>'PE Int rates'!$A$2:$F$2</c:f>
              <c:numCache>
                <c:formatCode>0.0</c:formatCode>
                <c:ptCount val="6"/>
                <c:pt idx="0">
                  <c:v>19.2456</c:v>
                </c:pt>
                <c:pt idx="1">
                  <c:v>17.867000000000001</c:v>
                </c:pt>
                <c:pt idx="2">
                  <c:v>18.309699999999999</c:v>
                </c:pt>
                <c:pt idx="3">
                  <c:v>17.205100000000002</c:v>
                </c:pt>
                <c:pt idx="4">
                  <c:v>13.082650000000001</c:v>
                </c:pt>
                <c:pt idx="5">
                  <c:v>9.2708000000000013</c:v>
                </c:pt>
              </c:numCache>
            </c:numRef>
          </c:val>
          <c:extLst>
            <c:ext xmlns:c16="http://schemas.microsoft.com/office/drawing/2014/chart" uri="{C3380CC4-5D6E-409C-BE32-E72D297353CC}">
              <c16:uniqueId val="{00000002-19F2-4EEB-BB78-2D7CF11CE36F}"/>
            </c:ext>
          </c:extLst>
        </c:ser>
        <c:dLbls>
          <c:showLegendKey val="0"/>
          <c:showVal val="0"/>
          <c:showCatName val="0"/>
          <c:showSerName val="0"/>
          <c:showPercent val="0"/>
          <c:showBubbleSize val="0"/>
        </c:dLbls>
        <c:gapWidth val="219"/>
        <c:axId val="138787199"/>
        <c:axId val="138781951"/>
      </c:barChart>
      <c:lineChart>
        <c:grouping val="standard"/>
        <c:varyColors val="0"/>
        <c:ser>
          <c:idx val="1"/>
          <c:order val="1"/>
          <c:tx>
            <c:strRef>
              <c:f>'PE Int rates'!$G$3</c:f>
              <c:strCache>
                <c:ptCount val="1"/>
                <c:pt idx="0">
                  <c:v>Average P/E = 17</c:v>
                </c:pt>
              </c:strCache>
            </c:strRef>
          </c:tx>
          <c:spPr>
            <a:ln w="19050" cap="rnd">
              <a:solidFill>
                <a:srgbClr val="FFC000"/>
              </a:solidFill>
              <a:prstDash val="dash"/>
              <a:round/>
            </a:ln>
            <a:effectLst/>
          </c:spPr>
          <c:marker>
            <c:symbol val="none"/>
          </c:marker>
          <c:cat>
            <c:strRef>
              <c:f>'PE Int rates'!$A$1:$F$1</c:f>
              <c:strCache>
                <c:ptCount val="6"/>
                <c:pt idx="0">
                  <c:v>Less than 2%</c:v>
                </c:pt>
                <c:pt idx="1">
                  <c:v>2% – 4%</c:v>
                </c:pt>
                <c:pt idx="2">
                  <c:v>4% – 6%</c:v>
                </c:pt>
                <c:pt idx="3">
                  <c:v>6% – 8%</c:v>
                </c:pt>
                <c:pt idx="4">
                  <c:v>8% – 10%</c:v>
                </c:pt>
                <c:pt idx="5">
                  <c:v>Greater than 10%</c:v>
                </c:pt>
              </c:strCache>
            </c:strRef>
          </c:cat>
          <c:val>
            <c:numRef>
              <c:f>'PE Int rates'!$A$3:$F$3</c:f>
              <c:numCache>
                <c:formatCode>0.0</c:formatCode>
                <c:ptCount val="6"/>
                <c:pt idx="0">
                  <c:v>17.146693442622958</c:v>
                </c:pt>
                <c:pt idx="1">
                  <c:v>17.146693442622958</c:v>
                </c:pt>
                <c:pt idx="2">
                  <c:v>17.146693442622958</c:v>
                </c:pt>
                <c:pt idx="3">
                  <c:v>17.146693442622958</c:v>
                </c:pt>
                <c:pt idx="4">
                  <c:v>17.146693442622958</c:v>
                </c:pt>
                <c:pt idx="5">
                  <c:v>17.146693442622958</c:v>
                </c:pt>
              </c:numCache>
            </c:numRef>
          </c:val>
          <c:smooth val="0"/>
          <c:extLst>
            <c:ext xmlns:c16="http://schemas.microsoft.com/office/drawing/2014/chart" uri="{C3380CC4-5D6E-409C-BE32-E72D297353CC}">
              <c16:uniqueId val="{00000003-19F2-4EEB-BB78-2D7CF11CE36F}"/>
            </c:ext>
          </c:extLst>
        </c:ser>
        <c:dLbls>
          <c:showLegendKey val="0"/>
          <c:showVal val="0"/>
          <c:showCatName val="0"/>
          <c:showSerName val="0"/>
          <c:showPercent val="0"/>
          <c:showBubbleSize val="0"/>
        </c:dLbls>
        <c:marker val="1"/>
        <c:smooth val="0"/>
        <c:axId val="138787199"/>
        <c:axId val="138781951"/>
      </c:lineChart>
      <c:catAx>
        <c:axId val="138787199"/>
        <c:scaling>
          <c:orientation val="minMax"/>
        </c:scaling>
        <c:delete val="0"/>
        <c:axPos val="b"/>
        <c:title>
          <c:tx>
            <c:rich>
              <a:bodyPr rot="0" spcFirstLastPara="1" vertOverflow="ellipsis" vert="horz" wrap="square" anchor="ctr" anchorCtr="1"/>
              <a:lstStyle/>
              <a:p>
                <a:pPr>
                  <a:defRPr sz="800" b="1" i="0" u="none" strike="noStrike" kern="1200" baseline="0">
                    <a:solidFill>
                      <a:srgbClr val="3C3C3C"/>
                    </a:solidFill>
                    <a:latin typeface="Wells Fargo Sans" panose="020B0503020203020204" pitchFamily="34" charset="0"/>
                    <a:ea typeface="+mn-ea"/>
                    <a:cs typeface="+mn-cs"/>
                  </a:defRPr>
                </a:pPr>
                <a:r>
                  <a:rPr lang="en-US" b="1" dirty="0"/>
                  <a:t> Nominal 10-year</a:t>
                </a:r>
                <a:r>
                  <a:rPr lang="en-US" b="1" baseline="0" dirty="0"/>
                  <a:t> interest rate</a:t>
                </a:r>
                <a:endParaRPr lang="en-US" b="1" dirty="0"/>
              </a:p>
            </c:rich>
          </c:tx>
          <c:overlay val="0"/>
          <c:spPr>
            <a:noFill/>
            <a:ln>
              <a:noFill/>
            </a:ln>
            <a:effectLst/>
          </c:spPr>
          <c:txPr>
            <a:bodyPr rot="0" spcFirstLastPara="1" vertOverflow="ellipsis" vert="horz" wrap="square" anchor="ctr" anchorCtr="1"/>
            <a:lstStyle/>
            <a:p>
              <a:pPr>
                <a:defRPr sz="800" b="1" i="0" u="none" strike="noStrike" kern="1200" baseline="0">
                  <a:solidFill>
                    <a:srgbClr val="3C3C3C"/>
                  </a:solidFill>
                  <a:latin typeface="Wells Fargo Sans" panose="020B0503020203020204" pitchFamily="34" charset="0"/>
                  <a:ea typeface="+mn-ea"/>
                  <a:cs typeface="+mn-cs"/>
                </a:defRPr>
              </a:pPr>
              <a:endParaRPr lang="en-US"/>
            </a:p>
          </c:txPr>
        </c:title>
        <c:numFmt formatCode="General" sourceLinked="1"/>
        <c:majorTickMark val="out"/>
        <c:minorTickMark val="none"/>
        <c:tickLblPos val="nextTo"/>
        <c:spPr>
          <a:noFill/>
          <a:ln w="9525" cap="flat" cmpd="sng" algn="ctr">
            <a:solidFill>
              <a:srgbClr val="3C3C3C"/>
            </a:solidFill>
            <a:round/>
          </a:ln>
          <a:effectLst/>
        </c:spPr>
        <c:txPr>
          <a:bodyPr rot="-60000000" spcFirstLastPara="1" vertOverflow="ellipsis" vert="horz" wrap="square" anchor="ctr" anchorCtr="1"/>
          <a:lstStyle/>
          <a:p>
            <a:pPr>
              <a:defRPr sz="800" b="0" i="0" u="none" strike="noStrike" kern="1200" baseline="0">
                <a:solidFill>
                  <a:srgbClr val="3C3C3C"/>
                </a:solidFill>
                <a:latin typeface="Wells Fargo Sans" panose="020B0503020203020204" pitchFamily="34" charset="0"/>
                <a:ea typeface="+mn-ea"/>
                <a:cs typeface="+mn-cs"/>
              </a:defRPr>
            </a:pPr>
            <a:endParaRPr lang="en-US"/>
          </a:p>
        </c:txPr>
        <c:crossAx val="138781951"/>
        <c:crosses val="autoZero"/>
        <c:auto val="1"/>
        <c:lblAlgn val="ctr"/>
        <c:lblOffset val="100"/>
        <c:noMultiLvlLbl val="0"/>
      </c:catAx>
      <c:valAx>
        <c:axId val="138781951"/>
        <c:scaling>
          <c:orientation val="minMax"/>
        </c:scaling>
        <c:delete val="0"/>
        <c:axPos val="l"/>
        <c:title>
          <c:tx>
            <c:rich>
              <a:bodyPr rot="-5400000" spcFirstLastPara="1" vertOverflow="ellipsis" vert="horz" wrap="square" anchor="ctr" anchorCtr="1"/>
              <a:lstStyle/>
              <a:p>
                <a:pPr>
                  <a:defRPr sz="800" b="1" i="0" u="none" strike="noStrike" kern="1200" baseline="0">
                    <a:solidFill>
                      <a:srgbClr val="3C3C3C"/>
                    </a:solidFill>
                    <a:latin typeface="Wells Fargo Sans" panose="020B0503020203020204" pitchFamily="34" charset="0"/>
                    <a:ea typeface="+mn-ea"/>
                    <a:cs typeface="+mn-cs"/>
                  </a:defRPr>
                </a:pPr>
                <a:r>
                  <a:rPr lang="en-US" b="1" dirty="0">
                    <a:solidFill>
                      <a:srgbClr val="3C3C3C"/>
                    </a:solidFill>
                  </a:rPr>
                  <a:t>Median trailing </a:t>
                </a:r>
                <a:r>
                  <a:rPr lang="en-US" sz="800" b="1" i="0" u="none" strike="noStrike" kern="1200" baseline="0" dirty="0">
                    <a:solidFill>
                      <a:srgbClr val="3C3C3C"/>
                    </a:solidFill>
                    <a:latin typeface="Wells Fargo Sans" panose="020B0503020203020204" pitchFamily="34" charset="0"/>
                    <a:ea typeface="+mn-ea"/>
                    <a:cs typeface="+mn-cs"/>
                  </a:rPr>
                  <a:t>price-to-earnings (P/E)</a:t>
                </a:r>
              </a:p>
            </c:rich>
          </c:tx>
          <c:overlay val="0"/>
          <c:spPr>
            <a:noFill/>
            <a:ln>
              <a:noFill/>
            </a:ln>
            <a:effectLst/>
          </c:spPr>
          <c:txPr>
            <a:bodyPr rot="-5400000" spcFirstLastPara="1" vertOverflow="ellipsis" vert="horz" wrap="square" anchor="ctr" anchorCtr="1"/>
            <a:lstStyle/>
            <a:p>
              <a:pPr>
                <a:defRPr sz="800" b="1" i="0" u="none" strike="noStrike" kern="1200" baseline="0">
                  <a:solidFill>
                    <a:srgbClr val="3C3C3C"/>
                  </a:solidFill>
                  <a:latin typeface="Wells Fargo Sans" panose="020B0503020203020204" pitchFamily="34" charset="0"/>
                  <a:ea typeface="+mn-ea"/>
                  <a:cs typeface="+mn-cs"/>
                </a:defRPr>
              </a:pPr>
              <a:endParaRPr lang="en-US"/>
            </a:p>
          </c:txPr>
        </c:title>
        <c:numFmt formatCode="0" sourceLinked="0"/>
        <c:majorTickMark val="out"/>
        <c:minorTickMark val="none"/>
        <c:tickLblPos val="nextTo"/>
        <c:spPr>
          <a:noFill/>
          <a:ln>
            <a:solidFill>
              <a:srgbClr val="3C3C3C"/>
            </a:solidFill>
          </a:ln>
          <a:effectLst/>
        </c:spPr>
        <c:txPr>
          <a:bodyPr rot="-60000000" spcFirstLastPara="1" vertOverflow="ellipsis" vert="horz" wrap="square" anchor="ctr" anchorCtr="1"/>
          <a:lstStyle/>
          <a:p>
            <a:pPr>
              <a:defRPr sz="800" b="0" i="0" u="none" strike="noStrike" kern="1200" baseline="0">
                <a:solidFill>
                  <a:srgbClr val="3C3C3C"/>
                </a:solidFill>
                <a:latin typeface="Wells Fargo Sans" panose="020B0503020203020204" pitchFamily="34" charset="0"/>
                <a:ea typeface="+mn-ea"/>
                <a:cs typeface="+mn-cs"/>
              </a:defRPr>
            </a:pPr>
            <a:endParaRPr lang="en-US"/>
          </a:p>
        </c:txPr>
        <c:crossAx val="138787199"/>
        <c:crosses val="autoZero"/>
        <c:crossBetween val="between"/>
      </c:valAx>
      <c:spPr>
        <a:solidFill>
          <a:schemeClr val="bg1"/>
        </a:solidFill>
        <a:ln>
          <a:noFill/>
        </a:ln>
        <a:effectLst/>
      </c:spPr>
    </c:plotArea>
    <c:plotVisOnly val="1"/>
    <c:dispBlanksAs val="gap"/>
    <c:showDLblsOverMax val="0"/>
  </c:chart>
  <c:spPr>
    <a:solidFill>
      <a:srgbClr val="F2F2F2">
        <a:alpha val="60000"/>
      </a:srgbClr>
    </a:solidFill>
    <a:ln w="9525" cap="flat" cmpd="sng" algn="ctr">
      <a:noFill/>
      <a:round/>
    </a:ln>
    <a:effectLst/>
  </c:spPr>
  <c:txPr>
    <a:bodyPr/>
    <a:lstStyle/>
    <a:p>
      <a:pPr>
        <a:defRPr sz="800">
          <a:solidFill>
            <a:srgbClr val="3C3C3C"/>
          </a:solidFill>
          <a:latin typeface="Wells Fargo Sans" panose="020B0503020203020204" pitchFamily="34" charset="0"/>
        </a:defRPr>
      </a:pPr>
      <a:endParaRPr lang="en-US"/>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dirty="0"/>
              <a:t>Performance versus risk: 15 years</a:t>
            </a:r>
          </a:p>
        </c:rich>
      </c:tx>
      <c:layout>
        <c:manualLayout>
          <c:xMode val="edge"/>
          <c:yMode val="edge"/>
          <c:x val="0.29316727236018575"/>
          <c:y val="2.7422237113977786E-3"/>
        </c:manualLayout>
      </c:layout>
      <c:overlay val="0"/>
    </c:title>
    <c:autoTitleDeleted val="0"/>
    <c:plotArea>
      <c:layout>
        <c:manualLayout>
          <c:layoutTarget val="inner"/>
          <c:xMode val="edge"/>
          <c:yMode val="edge"/>
          <c:x val="8.4382831998956118E-2"/>
          <c:y val="0.14672195230915286"/>
          <c:w val="0.86959391601517444"/>
          <c:h val="0.73262449336690061"/>
        </c:manualLayout>
      </c:layout>
      <c:scatterChart>
        <c:scatterStyle val="lineMarker"/>
        <c:varyColors val="0"/>
        <c:ser>
          <c:idx val="0"/>
          <c:order val="0"/>
          <c:tx>
            <c:strRef>
              <c:f>'Perf vs Risk'!$B$3:$B$14</c:f>
              <c:strCache>
                <c:ptCount val="12"/>
                <c:pt idx="0">
                  <c:v>Moderate growth and income liquid</c:v>
                </c:pt>
                <c:pt idx="1">
                  <c:v>EM Equities</c:v>
                </c:pt>
                <c:pt idx="2">
                  <c:v>DM ex-U.S. Equities</c:v>
                </c:pt>
                <c:pt idx="3">
                  <c:v>U.S. Inv Grade FI</c:v>
                </c:pt>
                <c:pt idx="4">
                  <c:v>Commodities</c:v>
                </c:pt>
                <c:pt idx="5">
                  <c:v>U.S. Large Cap Equities</c:v>
                </c:pt>
                <c:pt idx="6">
                  <c:v>Hedge Funds</c:v>
                </c:pt>
                <c:pt idx="7">
                  <c:v>U.S. Small Cap Equities</c:v>
                </c:pt>
                <c:pt idx="8">
                  <c:v>U.S. Mid Cap Equities</c:v>
                </c:pt>
                <c:pt idx="9">
                  <c:v>EM FI</c:v>
                </c:pt>
                <c:pt idx="10">
                  <c:v>DM ex-U.S. FI</c:v>
                </c:pt>
                <c:pt idx="11">
                  <c:v>High Yield FI</c:v>
                </c:pt>
              </c:strCache>
            </c:strRef>
          </c:tx>
          <c:spPr>
            <a:ln w="28575">
              <a:noFill/>
            </a:ln>
          </c:spPr>
          <c:marker>
            <c:symbol val="circle"/>
            <c:size val="7"/>
            <c:spPr>
              <a:solidFill>
                <a:srgbClr val="A82586"/>
              </a:solidFill>
              <a:ln>
                <a:noFill/>
              </a:ln>
            </c:spPr>
          </c:marker>
          <c:dPt>
            <c:idx val="0"/>
            <c:marker>
              <c:symbol val="circle"/>
              <c:size val="12"/>
            </c:marker>
            <c:bubble3D val="0"/>
            <c:extLst>
              <c:ext xmlns:c16="http://schemas.microsoft.com/office/drawing/2014/chart" uri="{C3380CC4-5D6E-409C-BE32-E72D297353CC}">
                <c16:uniqueId val="{00000000-13F6-481B-BBA4-4BF29BE8C101}"/>
              </c:ext>
            </c:extLst>
          </c:dPt>
          <c:dPt>
            <c:idx val="1"/>
            <c:marker>
              <c:symbol val="square"/>
              <c:size val="7"/>
              <c:spPr>
                <a:solidFill>
                  <a:srgbClr val="FFC000"/>
                </a:solidFill>
                <a:ln>
                  <a:noFill/>
                </a:ln>
              </c:spPr>
            </c:marker>
            <c:bubble3D val="0"/>
            <c:extLst>
              <c:ext xmlns:c16="http://schemas.microsoft.com/office/drawing/2014/chart" uri="{C3380CC4-5D6E-409C-BE32-E72D297353CC}">
                <c16:uniqueId val="{00000001-13F6-481B-BBA4-4BF29BE8C101}"/>
              </c:ext>
            </c:extLst>
          </c:dPt>
          <c:dPt>
            <c:idx val="2"/>
            <c:marker>
              <c:spPr>
                <a:solidFill>
                  <a:srgbClr val="F1A7DB"/>
                </a:solidFill>
                <a:ln>
                  <a:noFill/>
                </a:ln>
              </c:spPr>
            </c:marker>
            <c:bubble3D val="0"/>
            <c:extLst>
              <c:ext xmlns:c16="http://schemas.microsoft.com/office/drawing/2014/chart" uri="{C3380CC4-5D6E-409C-BE32-E72D297353CC}">
                <c16:uniqueId val="{00000002-13F6-481B-BBA4-4BF29BE8C101}"/>
              </c:ext>
            </c:extLst>
          </c:dPt>
          <c:dPt>
            <c:idx val="3"/>
            <c:marker>
              <c:spPr>
                <a:solidFill>
                  <a:srgbClr val="EB691E"/>
                </a:solidFill>
                <a:ln>
                  <a:noFill/>
                </a:ln>
              </c:spPr>
            </c:marker>
            <c:bubble3D val="0"/>
            <c:extLst>
              <c:ext xmlns:c16="http://schemas.microsoft.com/office/drawing/2014/chart" uri="{C3380CC4-5D6E-409C-BE32-E72D297353CC}">
                <c16:uniqueId val="{00000003-13F6-481B-BBA4-4BF29BE8C101}"/>
              </c:ext>
            </c:extLst>
          </c:dPt>
          <c:dPt>
            <c:idx val="4"/>
            <c:marker>
              <c:spPr>
                <a:solidFill>
                  <a:srgbClr val="342B6B"/>
                </a:solidFill>
                <a:ln>
                  <a:noFill/>
                </a:ln>
              </c:spPr>
            </c:marker>
            <c:bubble3D val="0"/>
            <c:extLst>
              <c:ext xmlns:c16="http://schemas.microsoft.com/office/drawing/2014/chart" uri="{C3380CC4-5D6E-409C-BE32-E72D297353CC}">
                <c16:uniqueId val="{00000004-13F6-481B-BBA4-4BF29BE8C101}"/>
              </c:ext>
            </c:extLst>
          </c:dPt>
          <c:dPt>
            <c:idx val="5"/>
            <c:marker>
              <c:spPr>
                <a:solidFill>
                  <a:srgbClr val="81368F"/>
                </a:solidFill>
                <a:ln>
                  <a:noFill/>
                </a:ln>
              </c:spPr>
            </c:marker>
            <c:bubble3D val="0"/>
            <c:extLst>
              <c:ext xmlns:c16="http://schemas.microsoft.com/office/drawing/2014/chart" uri="{C3380CC4-5D6E-409C-BE32-E72D297353CC}">
                <c16:uniqueId val="{00000005-13F6-481B-BBA4-4BF29BE8C101}"/>
              </c:ext>
            </c:extLst>
          </c:dPt>
          <c:dPt>
            <c:idx val="6"/>
            <c:marker>
              <c:spPr>
                <a:solidFill>
                  <a:srgbClr val="5A4999"/>
                </a:solidFill>
                <a:ln>
                  <a:noFill/>
                </a:ln>
              </c:spPr>
            </c:marker>
            <c:bubble3D val="0"/>
            <c:extLst>
              <c:ext xmlns:c16="http://schemas.microsoft.com/office/drawing/2014/chart" uri="{C3380CC4-5D6E-409C-BE32-E72D297353CC}">
                <c16:uniqueId val="{00000006-13F6-481B-BBA4-4BF29BE8C101}"/>
              </c:ext>
            </c:extLst>
          </c:dPt>
          <c:dPt>
            <c:idx val="7"/>
            <c:marker>
              <c:symbol val="dot"/>
              <c:size val="7"/>
              <c:spPr>
                <a:solidFill>
                  <a:srgbClr val="D5402E"/>
                </a:solidFill>
                <a:ln w="28575">
                  <a:solidFill>
                    <a:srgbClr val="D5402E"/>
                  </a:solidFill>
                </a:ln>
              </c:spPr>
            </c:marker>
            <c:bubble3D val="0"/>
            <c:extLst>
              <c:ext xmlns:c16="http://schemas.microsoft.com/office/drawing/2014/chart" uri="{C3380CC4-5D6E-409C-BE32-E72D297353CC}">
                <c16:uniqueId val="{00000007-13F6-481B-BBA4-4BF29BE8C101}"/>
              </c:ext>
            </c:extLst>
          </c:dPt>
          <c:dPt>
            <c:idx val="8"/>
            <c:marker>
              <c:symbol val="dash"/>
              <c:size val="7"/>
              <c:spPr>
                <a:solidFill>
                  <a:srgbClr val="853014"/>
                </a:solidFill>
                <a:ln>
                  <a:noFill/>
                </a:ln>
              </c:spPr>
            </c:marker>
            <c:bubble3D val="0"/>
            <c:extLst>
              <c:ext xmlns:c16="http://schemas.microsoft.com/office/drawing/2014/chart" uri="{C3380CC4-5D6E-409C-BE32-E72D297353CC}">
                <c16:uniqueId val="{00000008-13F6-481B-BBA4-4BF29BE8C101}"/>
              </c:ext>
            </c:extLst>
          </c:dPt>
          <c:dPt>
            <c:idx val="9"/>
            <c:marker>
              <c:symbol val="diamond"/>
              <c:size val="7"/>
              <c:spPr>
                <a:solidFill>
                  <a:srgbClr val="BFB4F0"/>
                </a:solidFill>
                <a:ln>
                  <a:noFill/>
                </a:ln>
              </c:spPr>
            </c:marker>
            <c:bubble3D val="0"/>
            <c:extLst>
              <c:ext xmlns:c16="http://schemas.microsoft.com/office/drawing/2014/chart" uri="{C3380CC4-5D6E-409C-BE32-E72D297353CC}">
                <c16:uniqueId val="{00000009-13F6-481B-BBA4-4BF29BE8C101}"/>
              </c:ext>
            </c:extLst>
          </c:dPt>
          <c:dPt>
            <c:idx val="10"/>
            <c:marker>
              <c:symbol val="square"/>
              <c:size val="7"/>
              <c:spPr>
                <a:solidFill>
                  <a:srgbClr val="C63557"/>
                </a:solidFill>
                <a:ln>
                  <a:noFill/>
                </a:ln>
              </c:spPr>
            </c:marker>
            <c:bubble3D val="0"/>
            <c:extLst>
              <c:ext xmlns:c16="http://schemas.microsoft.com/office/drawing/2014/chart" uri="{C3380CC4-5D6E-409C-BE32-E72D297353CC}">
                <c16:uniqueId val="{0000000A-13F6-481B-BBA4-4BF29BE8C101}"/>
              </c:ext>
            </c:extLst>
          </c:dPt>
          <c:dPt>
            <c:idx val="11"/>
            <c:marker>
              <c:symbol val="triangle"/>
              <c:size val="7"/>
              <c:spPr>
                <a:solidFill>
                  <a:srgbClr val="FDB1A8"/>
                </a:solidFill>
                <a:ln>
                  <a:noFill/>
                </a:ln>
              </c:spPr>
            </c:marker>
            <c:bubble3D val="0"/>
            <c:extLst>
              <c:ext xmlns:c16="http://schemas.microsoft.com/office/drawing/2014/chart" uri="{C3380CC4-5D6E-409C-BE32-E72D297353CC}">
                <c16:uniqueId val="{0000000B-13F6-481B-BBA4-4BF29BE8C101}"/>
              </c:ext>
            </c:extLst>
          </c:dPt>
          <c:dPt>
            <c:idx val="12"/>
            <c:marker>
              <c:symbol val="x"/>
              <c:size val="7"/>
              <c:spPr>
                <a:noFill/>
                <a:ln w="28575">
                  <a:solidFill>
                    <a:srgbClr val="BA73CA"/>
                  </a:solidFill>
                </a:ln>
              </c:spPr>
            </c:marker>
            <c:bubble3D val="0"/>
            <c:extLst>
              <c:ext xmlns:c16="http://schemas.microsoft.com/office/drawing/2014/chart" uri="{C3380CC4-5D6E-409C-BE32-E72D297353CC}">
                <c16:uniqueId val="{0000000C-13F6-481B-BBA4-4BF29BE8C101}"/>
              </c:ext>
            </c:extLst>
          </c:dPt>
          <c:dLbls>
            <c:dLbl>
              <c:idx val="0"/>
              <c:layout>
                <c:manualLayout>
                  <c:x val="-1.5096618357487985E-2"/>
                  <c:y val="-1.7062517062517064E-2"/>
                </c:manualLayout>
              </c:layout>
              <c:tx>
                <c:rich>
                  <a:bodyPr/>
                  <a:lstStyle/>
                  <a:p>
                    <a:fld id="{B9FD6DA0-5D2E-40C6-87E8-E15526F2BE0E}" type="CELLRANGE">
                      <a:rPr lang="en-US" dirty="0"/>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13F6-481B-BBA4-4BF29BE8C101}"/>
                </c:ext>
              </c:extLst>
            </c:dLbl>
            <c:dLbl>
              <c:idx val="1"/>
              <c:tx>
                <c:rich>
                  <a:bodyPr/>
                  <a:lstStyle/>
                  <a:p>
                    <a:fld id="{2B360C15-67B2-4E67-9170-474414E8DCC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13F6-481B-BBA4-4BF29BE8C101}"/>
                </c:ext>
              </c:extLst>
            </c:dLbl>
            <c:dLbl>
              <c:idx val="2"/>
              <c:tx>
                <c:rich>
                  <a:bodyPr/>
                  <a:lstStyle/>
                  <a:p>
                    <a:fld id="{C38E127C-B0B5-4E81-B715-5ED10322B946}" type="CELLRANGE">
                      <a:rPr lang="en-US" dirty="0"/>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13F6-481B-BBA4-4BF29BE8C101}"/>
                </c:ext>
              </c:extLst>
            </c:dLbl>
            <c:dLbl>
              <c:idx val="3"/>
              <c:layout>
                <c:manualLayout>
                  <c:x val="-6.5418679549114331E-2"/>
                  <c:y val="3.4125034125034127E-2"/>
                </c:manualLayout>
              </c:layout>
              <c:tx>
                <c:rich>
                  <a:bodyPr/>
                  <a:lstStyle/>
                  <a:p>
                    <a:fld id="{F0F836C8-B933-4B79-882F-3541D96A3DDF}" type="CELLRANGE">
                      <a:rPr lang="en-US" dirty="0"/>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13F6-481B-BBA4-4BF29BE8C101}"/>
                </c:ext>
              </c:extLst>
            </c:dLbl>
            <c:dLbl>
              <c:idx val="4"/>
              <c:layout>
                <c:manualLayout>
                  <c:x val="-5.5354267310789053E-2"/>
                  <c:y val="-4.4362544362544359E-2"/>
                </c:manualLayout>
              </c:layout>
              <c:tx>
                <c:rich>
                  <a:bodyPr/>
                  <a:lstStyle/>
                  <a:p>
                    <a:fld id="{249EEF27-B13D-464C-9BFD-7332E5B95E8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13F6-481B-BBA4-4BF29BE8C101}"/>
                </c:ext>
              </c:extLst>
            </c:dLbl>
            <c:dLbl>
              <c:idx val="5"/>
              <c:layout>
                <c:manualLayout>
                  <c:x val="-4.0257648953301126E-2"/>
                  <c:y val="-4.4362544362544394E-2"/>
                </c:manualLayout>
              </c:layout>
              <c:tx>
                <c:rich>
                  <a:bodyPr/>
                  <a:lstStyle/>
                  <a:p>
                    <a:fld id="{FA8202CF-5DC4-4F97-A73C-DEE236B3CC4A}" type="CELLRANGE">
                      <a:rPr lang="en-US" dirty="0"/>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13F6-481B-BBA4-4BF29BE8C101}"/>
                </c:ext>
              </c:extLst>
            </c:dLbl>
            <c:dLbl>
              <c:idx val="6"/>
              <c:tx>
                <c:rich>
                  <a:bodyPr/>
                  <a:lstStyle/>
                  <a:p>
                    <a:fld id="{81372FCF-EEA3-41C0-A19A-BC17CD89733D}" type="CELLRANGE">
                      <a:rPr lang="en-US" dirty="0"/>
                      <a:pPr/>
                      <a:t>[CELLRANGE]</a:t>
                    </a:fld>
                    <a:endParaRPr lang="en-US"/>
                  </a:p>
                </c:rich>
              </c:tx>
              <c:dLblPos val="b"/>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13F6-481B-BBA4-4BF29BE8C101}"/>
                </c:ext>
              </c:extLst>
            </c:dLbl>
            <c:dLbl>
              <c:idx val="7"/>
              <c:layout>
                <c:manualLayout>
                  <c:x val="-3.3548040794417608E-3"/>
                  <c:y val="3.160447101701281E-17"/>
                </c:manualLayout>
              </c:layout>
              <c:tx>
                <c:rich>
                  <a:bodyPr/>
                  <a:lstStyle/>
                  <a:p>
                    <a:fld id="{AB44E85B-1FD4-46D4-8B2B-2A6D1C75FB21}" type="CELLRANGE">
                      <a:rPr lang="en-US" dirty="0"/>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13F6-481B-BBA4-4BF29BE8C101}"/>
                </c:ext>
              </c:extLst>
            </c:dLbl>
            <c:dLbl>
              <c:idx val="8"/>
              <c:tx>
                <c:rich>
                  <a:bodyPr/>
                  <a:lstStyle/>
                  <a:p>
                    <a:pPr>
                      <a:defRPr sz="800"/>
                    </a:pPr>
                    <a:fld id="{9EDAEB7B-7753-408C-9834-1CD094EC239F}" type="CELLRANGE">
                      <a:rPr lang="en-US"/>
                      <a:pPr>
                        <a:defRPr sz="800"/>
                      </a:pPr>
                      <a:t>[CELLRANGE]</a:t>
                    </a:fld>
                    <a:endParaRPr lang="en-US"/>
                  </a:p>
                </c:rich>
              </c:tx>
              <c:spPr>
                <a:noFill/>
                <a:ln>
                  <a:noFill/>
                </a:ln>
                <a:effectLst/>
              </c:sp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dlblFieldTable/>
                  <c15:xForSave val="1"/>
                  <c15:showDataLabelsRange val="1"/>
                </c:ext>
                <c:ext xmlns:c16="http://schemas.microsoft.com/office/drawing/2014/chart" uri="{C3380CC4-5D6E-409C-BE32-E72D297353CC}">
                  <c16:uniqueId val="{00000008-13F6-481B-BBA4-4BF29BE8C101}"/>
                </c:ext>
              </c:extLst>
            </c:dLbl>
            <c:dLbl>
              <c:idx val="9"/>
              <c:tx>
                <c:rich>
                  <a:bodyPr/>
                  <a:lstStyle/>
                  <a:p>
                    <a:fld id="{95CB2340-7DDF-4AED-87D7-528A573C4A8E}" type="CELLRANGE">
                      <a:rPr lang="en-US" dirty="0"/>
                      <a:pPr/>
                      <a:t>[CELLRANGE]</a:t>
                    </a:fld>
                    <a:endParaRPr lang="en-US"/>
                  </a:p>
                </c:rich>
              </c:tx>
              <c:dLblPos val="b"/>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13F6-481B-BBA4-4BF29BE8C101}"/>
                </c:ext>
              </c:extLst>
            </c:dLbl>
            <c:dLbl>
              <c:idx val="10"/>
              <c:layout>
                <c:manualLayout>
                  <c:x val="-5.9807835765698369E-2"/>
                  <c:y val="2.7615751040947892E-2"/>
                </c:manualLayout>
              </c:layout>
              <c:tx>
                <c:rich>
                  <a:bodyPr/>
                  <a:lstStyle/>
                  <a:p>
                    <a:fld id="{3EB31432-46F5-4DB3-AD15-77DCB7C80572}" type="CELLRANGE">
                      <a:rPr lang="en-US" dirty="0"/>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13F6-481B-BBA4-4BF29BE8C101}"/>
                </c:ext>
              </c:extLst>
            </c:dLbl>
            <c:dLbl>
              <c:idx val="11"/>
              <c:layout>
                <c:manualLayout>
                  <c:x val="-9.8966787805370521E-2"/>
                  <c:y val="-5.8206953582856935E-2"/>
                </c:manualLayout>
              </c:layout>
              <c:tx>
                <c:rich>
                  <a:bodyPr/>
                  <a:lstStyle/>
                  <a:p>
                    <a:fld id="{663F1B2D-6E9A-4550-9FBA-E1828B54A398}" type="CELLRANGE">
                      <a:rPr lang="en-US" dirty="0"/>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13F6-481B-BBA4-4BF29BE8C101}"/>
                </c:ext>
              </c:extLst>
            </c:dLbl>
            <c:spPr>
              <a:noFill/>
              <a:ln>
                <a:noFill/>
              </a:ln>
              <a:effectLst/>
            </c:spPr>
            <c:txPr>
              <a:bodyPr/>
              <a:lstStyle/>
              <a:p>
                <a:pPr>
                  <a:defRPr sz="800"/>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xVal>
            <c:numRef>
              <c:f>'Perf vs Risk'!$D$3:$D$14</c:f>
              <c:numCache>
                <c:formatCode>#,##0.00</c:formatCode>
                <c:ptCount val="12"/>
                <c:pt idx="0">
                  <c:v>9.7576731260103671</c:v>
                </c:pt>
                <c:pt idx="1">
                  <c:v>19.18966</c:v>
                </c:pt>
                <c:pt idx="2">
                  <c:v>16.842169999999999</c:v>
                </c:pt>
                <c:pt idx="3">
                  <c:v>4.2359099999999996</c:v>
                </c:pt>
                <c:pt idx="4">
                  <c:v>14.90558</c:v>
                </c:pt>
                <c:pt idx="5">
                  <c:v>15.372769999999999</c:v>
                </c:pt>
                <c:pt idx="6">
                  <c:v>6.0542800000000003</c:v>
                </c:pt>
                <c:pt idx="7">
                  <c:v>20.478339999999999</c:v>
                </c:pt>
                <c:pt idx="8">
                  <c:v>17.5304</c:v>
                </c:pt>
                <c:pt idx="9">
                  <c:v>8.4164999999999992</c:v>
                </c:pt>
                <c:pt idx="10">
                  <c:v>8.3750699999999991</c:v>
                </c:pt>
                <c:pt idx="11">
                  <c:v>8.3577399999999997</c:v>
                </c:pt>
              </c:numCache>
            </c:numRef>
          </c:xVal>
          <c:yVal>
            <c:numRef>
              <c:f>'Perf vs Risk'!$C$3:$C$14</c:f>
              <c:numCache>
                <c:formatCode>#,##0.00</c:formatCode>
                <c:ptCount val="12"/>
                <c:pt idx="0">
                  <c:v>8.2555838820435277</c:v>
                </c:pt>
                <c:pt idx="1">
                  <c:v>6.93262</c:v>
                </c:pt>
                <c:pt idx="2">
                  <c:v>7.4375499999999999</c:v>
                </c:pt>
                <c:pt idx="3">
                  <c:v>2.6799499999999998</c:v>
                </c:pt>
                <c:pt idx="4">
                  <c:v>-0.24374000000000001</c:v>
                </c:pt>
                <c:pt idx="5">
                  <c:v>13.97015</c:v>
                </c:pt>
                <c:pt idx="6">
                  <c:v>5.6040900000000002</c:v>
                </c:pt>
                <c:pt idx="7">
                  <c:v>11.30353</c:v>
                </c:pt>
                <c:pt idx="8">
                  <c:v>13.577310000000001</c:v>
                </c:pt>
                <c:pt idx="9">
                  <c:v>5.8053499999999998</c:v>
                </c:pt>
                <c:pt idx="10">
                  <c:v>-0.11934</c:v>
                </c:pt>
                <c:pt idx="11">
                  <c:v>9.1724999999999994</c:v>
                </c:pt>
              </c:numCache>
            </c:numRef>
          </c:yVal>
          <c:smooth val="0"/>
          <c:extLst>
            <c:ext xmlns:c15="http://schemas.microsoft.com/office/drawing/2012/chart" uri="{02D57815-91ED-43cb-92C2-25804820EDAC}">
              <c15:datalabelsRange>
                <c15:f>'Perf vs Risk'!$B$3:$B$14</c15:f>
                <c15:dlblRangeCache>
                  <c:ptCount val="12"/>
                  <c:pt idx="0">
                    <c:v>Moderate growth and income liquid</c:v>
                  </c:pt>
                  <c:pt idx="1">
                    <c:v>EM Equities</c:v>
                  </c:pt>
                  <c:pt idx="2">
                    <c:v>DM ex-U.S. Equities</c:v>
                  </c:pt>
                  <c:pt idx="3">
                    <c:v>U.S. Inv Grade FI</c:v>
                  </c:pt>
                  <c:pt idx="4">
                    <c:v>Commodities</c:v>
                  </c:pt>
                  <c:pt idx="5">
                    <c:v>U.S. Large Cap Equities</c:v>
                  </c:pt>
                  <c:pt idx="6">
                    <c:v>Hedge Funds</c:v>
                  </c:pt>
                  <c:pt idx="7">
                    <c:v>U.S. Small Cap Equities</c:v>
                  </c:pt>
                  <c:pt idx="8">
                    <c:v>U.S. Mid Cap Equities</c:v>
                  </c:pt>
                  <c:pt idx="9">
                    <c:v>EM FI</c:v>
                  </c:pt>
                  <c:pt idx="10">
                    <c:v>DM ex-U.S. FI</c:v>
                  </c:pt>
                  <c:pt idx="11">
                    <c:v>High Yield FI</c:v>
                  </c:pt>
                </c15:dlblRangeCache>
              </c15:datalabelsRange>
            </c:ext>
            <c:ext xmlns:c16="http://schemas.microsoft.com/office/drawing/2014/chart" uri="{C3380CC4-5D6E-409C-BE32-E72D297353CC}">
              <c16:uniqueId val="{0000000D-13F6-481B-BBA4-4BF29BE8C101}"/>
            </c:ext>
          </c:extLst>
        </c:ser>
        <c:ser>
          <c:idx val="1"/>
          <c:order val="1"/>
          <c:tx>
            <c:strRef>
              <c:f>'Perf vs Risk'!$A$18</c:f>
              <c:strCache>
                <c:ptCount val="1"/>
                <c:pt idx="0">
                  <c:v>(January 2009 – December 2023)</c:v>
                </c:pt>
              </c:strCache>
            </c:strRef>
          </c:tx>
          <c:spPr>
            <a:ln w="28575">
              <a:noFill/>
            </a:ln>
          </c:spPr>
          <c:marker>
            <c:symbol val="none"/>
          </c:marker>
          <c:dLbls>
            <c:dLbl>
              <c:idx val="0"/>
              <c:layout>
                <c:manualLayout>
                  <c:x val="-0.22211067366579176"/>
                  <c:y val="-8.084129111520634E-2"/>
                </c:manualLayout>
              </c:layout>
              <c:spPr>
                <a:noFill/>
                <a:ln>
                  <a:noFill/>
                </a:ln>
                <a:effectLst/>
              </c:spPr>
              <c:txPr>
                <a:bodyPr/>
                <a:lstStyle/>
                <a:p>
                  <a:pPr>
                    <a:defRPr/>
                  </a:pPr>
                  <a:endParaRPr lang="en-US"/>
                </a:p>
              </c:txPr>
              <c:dLblPos val="r"/>
              <c:showLegendKey val="0"/>
              <c:showVal val="0"/>
              <c:showCatName val="0"/>
              <c:showSerName val="1"/>
              <c:showPercent val="0"/>
              <c:showBubbleSize val="0"/>
              <c:extLst>
                <c:ext xmlns:c15="http://schemas.microsoft.com/office/drawing/2012/chart" uri="{CE6537A1-D6FC-4f65-9D91-7224C49458BB}">
                  <c15:spPr xmlns:c15="http://schemas.microsoft.com/office/drawing/2012/chart">
                    <a:prstGeom prst="rect">
                      <a:avLst/>
                    </a:prstGeom>
                  </c15:spPr>
                  <c15:layout>
                    <c:manualLayout>
                      <c:w val="0.37876118850528301"/>
                      <c:h val="6.1117998548053831E-2"/>
                    </c:manualLayout>
                  </c15:layout>
                </c:ext>
                <c:ext xmlns:c16="http://schemas.microsoft.com/office/drawing/2014/chart" uri="{C3380CC4-5D6E-409C-BE32-E72D297353CC}">
                  <c16:uniqueId val="{0000000E-13F6-481B-BBA4-4BF29BE8C101}"/>
                </c:ext>
              </c:extLst>
            </c:dLbl>
            <c:spPr>
              <a:noFill/>
              <a:ln>
                <a:noFill/>
              </a:ln>
              <a:effectLst/>
            </c:spPr>
            <c:dLblPos val="t"/>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'Perf vs Risk'!$C$18</c:f>
              <c:numCache>
                <c:formatCode>#,##0.00</c:formatCode>
                <c:ptCount val="1"/>
                <c:pt idx="0">
                  <c:v>12.5</c:v>
                </c:pt>
              </c:numCache>
            </c:numRef>
          </c:xVal>
          <c:yVal>
            <c:numRef>
              <c:f>'Perf vs Risk'!$D$18</c:f>
              <c:numCache>
                <c:formatCode>#,##0.00</c:formatCode>
                <c:ptCount val="1"/>
                <c:pt idx="0">
                  <c:v>15.5</c:v>
                </c:pt>
              </c:numCache>
            </c:numRef>
          </c:yVal>
          <c:smooth val="0"/>
          <c:extLst>
            <c:ext xmlns:c16="http://schemas.microsoft.com/office/drawing/2014/chart" uri="{C3380CC4-5D6E-409C-BE32-E72D297353CC}">
              <c16:uniqueId val="{0000000F-13F6-481B-BBA4-4BF29BE8C101}"/>
            </c:ext>
          </c:extLst>
        </c:ser>
        <c:dLbls>
          <c:showLegendKey val="0"/>
          <c:showVal val="1"/>
          <c:showCatName val="0"/>
          <c:showSerName val="0"/>
          <c:showPercent val="0"/>
          <c:showBubbleSize val="0"/>
        </c:dLbls>
        <c:axId val="215294336"/>
        <c:axId val="215296256"/>
      </c:scatterChart>
      <c:valAx>
        <c:axId val="215294336"/>
        <c:scaling>
          <c:orientation val="minMax"/>
        </c:scaling>
        <c:delete val="0"/>
        <c:axPos val="b"/>
        <c:title>
          <c:tx>
            <c:rich>
              <a:bodyPr/>
              <a:lstStyle/>
              <a:p>
                <a:pPr>
                  <a:defRPr sz="900"/>
                </a:pPr>
                <a:r>
                  <a:rPr lang="en-US" sz="900" dirty="0"/>
                  <a:t>Annualized standard deviation (%, from lower risk to higher risk)</a:t>
                </a:r>
              </a:p>
            </c:rich>
          </c:tx>
          <c:layout>
            <c:manualLayout>
              <c:xMode val="edge"/>
              <c:yMode val="edge"/>
              <c:x val="0.20746315364425599"/>
              <c:y val="0.93379711844530067"/>
            </c:manualLayout>
          </c:layout>
          <c:overlay val="0"/>
        </c:title>
        <c:numFmt formatCode="#,##0" sourceLinked="0"/>
        <c:majorTickMark val="out"/>
        <c:minorTickMark val="none"/>
        <c:tickLblPos val="low"/>
        <c:spPr>
          <a:ln w="9525">
            <a:solidFill>
              <a:srgbClr val="3C3C3C"/>
            </a:solidFill>
          </a:ln>
        </c:spPr>
        <c:txPr>
          <a:bodyPr/>
          <a:lstStyle/>
          <a:p>
            <a:pPr>
              <a:defRPr sz="1000"/>
            </a:pPr>
            <a:endParaRPr lang="en-US"/>
          </a:p>
        </c:txPr>
        <c:crossAx val="215296256"/>
        <c:crossesAt val="0"/>
        <c:crossBetween val="midCat"/>
      </c:valAx>
      <c:valAx>
        <c:axId val="215296256"/>
        <c:scaling>
          <c:orientation val="minMax"/>
          <c:max val="16"/>
          <c:min val="-2"/>
        </c:scaling>
        <c:delete val="0"/>
        <c:axPos val="l"/>
        <c:title>
          <c:tx>
            <c:rich>
              <a:bodyPr rot="-5400000" vert="horz"/>
              <a:lstStyle/>
              <a:p>
                <a:pPr>
                  <a:defRPr sz="900"/>
                </a:pPr>
                <a:r>
                  <a:rPr lang="en-US" sz="900" dirty="0"/>
                  <a:t>Annualized total return (%)</a:t>
                </a:r>
              </a:p>
            </c:rich>
          </c:tx>
          <c:layout>
            <c:manualLayout>
              <c:xMode val="edge"/>
              <c:yMode val="edge"/>
              <c:x val="4.8756645803889912E-3"/>
              <c:y val="0.28180348467079913"/>
            </c:manualLayout>
          </c:layout>
          <c:overlay val="0"/>
        </c:title>
        <c:numFmt formatCode="#,##0" sourceLinked="0"/>
        <c:majorTickMark val="out"/>
        <c:minorTickMark val="none"/>
        <c:tickLblPos val="nextTo"/>
        <c:spPr>
          <a:ln w="9525">
            <a:solidFill>
              <a:srgbClr val="3C3C3C"/>
            </a:solidFill>
          </a:ln>
        </c:spPr>
        <c:txPr>
          <a:bodyPr/>
          <a:lstStyle/>
          <a:p>
            <a:pPr>
              <a:defRPr sz="1000"/>
            </a:pPr>
            <a:endParaRPr lang="en-US"/>
          </a:p>
        </c:txPr>
        <c:crossAx val="215294336"/>
        <c:crosses val="autoZero"/>
        <c:crossBetween val="midCat"/>
        <c:majorUnit val="4"/>
      </c:valAx>
      <c:spPr>
        <a:solidFill>
          <a:srgbClr val="FFFFFF"/>
        </a:solidFill>
      </c:spPr>
    </c:plotArea>
    <c:plotVisOnly val="1"/>
    <c:dispBlanksAs val="gap"/>
    <c:showDLblsOverMax val="0"/>
  </c:chart>
  <c:spPr>
    <a:solidFill>
      <a:srgbClr val="F0F0F0">
        <a:alpha val="60000"/>
      </a:srgbClr>
    </a:solidFill>
    <a:ln>
      <a:noFill/>
    </a:ln>
  </c:spPr>
  <c:txPr>
    <a:bodyPr/>
    <a:lstStyle/>
    <a:p>
      <a:pPr>
        <a:defRPr sz="900">
          <a:solidFill>
            <a:srgbClr val="3C3C3C"/>
          </a:solidFill>
          <a:latin typeface="Wells Fargo Sans" panose="020B0503020203020204" pitchFamily="34" charset="0"/>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0.90077</cdr:x>
      <cdr:y>0.33616</cdr:y>
    </cdr:from>
    <cdr:to>
      <cdr:x>1</cdr:x>
      <cdr:y>0.47065</cdr:y>
    </cdr:to>
    <cdr:sp macro="" textlink="">
      <cdr:nvSpPr>
        <cdr:cNvPr id="2" name="TextBox 1"/>
        <cdr:cNvSpPr txBox="1"/>
      </cdr:nvSpPr>
      <cdr:spPr>
        <a:xfrm xmlns:a="http://schemas.openxmlformats.org/drawingml/2006/main">
          <a:off x="6238708" y="1119031"/>
          <a:ext cx="687288" cy="44767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fld id="{5718A436-2919-4F52-A5C8-FBE42F6E686D}" type="TxLink">
            <a:rPr lang="en-US" sz="800" b="0" i="0" u="none" strike="noStrike">
              <a:solidFill>
                <a:srgbClr val="3C3C3C"/>
              </a:solidFill>
              <a:latin typeface="Wells Fargo Sans" panose="020B0503020203020204" pitchFamily="34" charset="0"/>
              <a:cs typeface="Calibri"/>
            </a:rPr>
            <a:pPr/>
            <a:t>Average P/E = 17</a:t>
          </a:fld>
          <a:endParaRPr lang="en-US" sz="800" dirty="0">
            <a:solidFill>
              <a:srgbClr val="3C3C3C"/>
            </a:solidFill>
            <a:latin typeface="Wells Fargo Sans" panose="020B0503020203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WFII Market Charts">
    <a:dk1>
      <a:srgbClr val="000000"/>
    </a:dk1>
    <a:lt1>
      <a:srgbClr val="FFFFFF"/>
    </a:lt1>
    <a:dk2>
      <a:srgbClr val="936E3A"/>
    </a:dk2>
    <a:lt2>
      <a:srgbClr val="F4F0ED"/>
    </a:lt2>
    <a:accent1>
      <a:srgbClr val="EB691E"/>
    </a:accent1>
    <a:accent2>
      <a:srgbClr val="5A469B"/>
    </a:accent2>
    <a:accent3>
      <a:srgbClr val="C83255"/>
    </a:accent3>
    <a:accent4>
      <a:srgbClr val="BFB3F2"/>
    </a:accent4>
    <a:accent5>
      <a:srgbClr val="AA1E87"/>
    </a:accent5>
    <a:accent6>
      <a:srgbClr val="FDB1A8"/>
    </a:accent6>
    <a:hlink>
      <a:srgbClr val="5A469B"/>
    </a:hlink>
    <a:folHlink>
      <a:srgbClr val="5A469B"/>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WFII Market Charts">
    <a:dk1>
      <a:srgbClr val="000000"/>
    </a:dk1>
    <a:lt1>
      <a:srgbClr val="FFFFFF"/>
    </a:lt1>
    <a:dk2>
      <a:srgbClr val="936E3A"/>
    </a:dk2>
    <a:lt2>
      <a:srgbClr val="F4F0ED"/>
    </a:lt2>
    <a:accent1>
      <a:srgbClr val="EB691E"/>
    </a:accent1>
    <a:accent2>
      <a:srgbClr val="5A469B"/>
    </a:accent2>
    <a:accent3>
      <a:srgbClr val="C83255"/>
    </a:accent3>
    <a:accent4>
      <a:srgbClr val="BFB3F2"/>
    </a:accent4>
    <a:accent5>
      <a:srgbClr val="AA1E87"/>
    </a:accent5>
    <a:accent6>
      <a:srgbClr val="FDB1A8"/>
    </a:accent6>
    <a:hlink>
      <a:srgbClr val="5A469B"/>
    </a:hlink>
    <a:folHlink>
      <a:srgbClr val="5A469B"/>
    </a:folHlink>
  </a:clrScheme>
  <a:fontScheme name="Wells Fargo 2019 Fonts">
    <a:majorFont>
      <a:latin typeface="Wells Fargo Sans" panose="020B0503020203020204" pitchFamily="34" charset="0"/>
      <a:ea typeface=""/>
      <a:cs typeface=""/>
    </a:majorFont>
    <a:minorFont>
      <a:latin typeface="Wells Fargo Sans" panose="020B0503020203020204" pitchFamily="34" charset="0"/>
      <a:ea typeface=""/>
      <a:cs typeface=""/>
    </a:minorFont>
  </a:fontScheme>
  <a:fmtScheme name="Wells Fargo 2019 Effects">
    <a:fillStyleLst>
      <a:solidFill>
        <a:schemeClr val="phClr"/>
      </a:solidFill>
      <a:solidFill>
        <a:schemeClr val="phClr"/>
      </a:solidFill>
      <a:solidFill>
        <a:schemeClr val="phClr"/>
      </a:solidFill>
    </a:fillStyleLst>
    <a:lnStyleLst>
      <a:ln w="12700" cap="sq" cmpd="sng" algn="ctr">
        <a:solidFill>
          <a:schemeClr val="phClr"/>
        </a:solidFill>
        <a:prstDash val="solid"/>
      </a:ln>
      <a:ln w="12700" cap="sq" cmpd="sng" algn="ctr">
        <a:solidFill>
          <a:schemeClr val="phClr"/>
        </a:solidFill>
        <a:prstDash val="solid"/>
      </a:ln>
      <a:ln w="12700" cap="sq" cmpd="sng" algn="ctr">
        <a:solidFill>
          <a:schemeClr val="phClr"/>
        </a:solidFill>
        <a:prstDash val="solid"/>
      </a:ln>
    </a:lnStyleLst>
    <a:effectStyleLst>
      <a:effectStyle>
        <a:effectLst/>
      </a:effectStyle>
      <a:effectStyle>
        <a:effectLst/>
      </a:effectStyle>
      <a:effectStyle>
        <a:effectLst>
          <a:outerShdw blurRad="127000" dist="63500" dir="2700000" algn="br" rotWithShape="0">
            <a:srgbClr val="000000">
              <a:alpha val="25000"/>
            </a:srgbClr>
          </a:outerShdw>
        </a:effectLst>
      </a:effectStyle>
    </a:effectStyleLst>
    <a:bgFillStyleLst>
      <a:solidFill>
        <a:schemeClr val="phClr"/>
      </a:solidFill>
      <a:solidFill>
        <a:schemeClr val="phClr"/>
      </a:solidFill>
      <a:solidFill>
        <a:schemeClr val="phClr"/>
      </a:soli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38A3D6-32C8-41C2-95AF-C267D34711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906</Words>
  <Characters>5165</Characters>
  <Application>Microsoft Office Word</Application>
  <DocSecurity>4</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Wells Fargo N.A.</Company>
  <LinksUpToDate>false</LinksUpToDate>
  <CharactersWithSpaces>6059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O'brien, Josh</dc:creator>
  <cp:keywords/>
  <dc:description/>
  <cp:lastModifiedBy>O'Brien, Josh</cp:lastModifiedBy>
  <cp:revision>2</cp:revision>
  <cp:lastPrinted>2024-02-28T19:45:00Z</cp:lastPrinted>
  <dcterms:created xsi:type="dcterms:W3CDTF">2024-03-25T18:24:00Z</dcterms:created>
  <dcterms:modified xsi:type="dcterms:W3CDTF">2024-03-25T18:24:00Z</dcterms:modified>
</cp:coreProperties>
</file>